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2F9" w:rsidRDefault="00AA7516" w:rsidP="00AA7516">
      <w:pPr>
        <w:pStyle w:val="ConsNormal"/>
        <w:widowControl/>
        <w:ind w:right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636"/>
      </w:tblGrid>
      <w:tr w:rsidR="007672F9" w:rsidTr="007672F9">
        <w:tc>
          <w:tcPr>
            <w:tcW w:w="5070" w:type="dxa"/>
          </w:tcPr>
          <w:p w:rsidR="007672F9" w:rsidRDefault="007672F9" w:rsidP="00AA7516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36" w:type="dxa"/>
          </w:tcPr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7672F9" w:rsidRDefault="00E4795C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лавы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Pr="00E60460">
              <w:rPr>
                <w:rFonts w:ascii="Times New Roman" w:hAnsi="Times New Roman"/>
                <w:sz w:val="28"/>
                <w:szCs w:val="28"/>
              </w:rPr>
              <w:t>ородского</w:t>
            </w:r>
            <w:r w:rsidRPr="008F52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0460">
              <w:rPr>
                <w:rFonts w:ascii="Times New Roman" w:hAnsi="Times New Roman"/>
                <w:sz w:val="28"/>
                <w:szCs w:val="28"/>
              </w:rPr>
              <w:t>округа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Жигулевск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Самарской области</w:t>
            </w: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E4795C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672F9" w:rsidRPr="00E60460">
              <w:rPr>
                <w:rFonts w:ascii="Times New Roman" w:hAnsi="Times New Roman"/>
                <w:sz w:val="28"/>
                <w:szCs w:val="28"/>
              </w:rPr>
              <w:t>_____________</w:t>
            </w:r>
            <w:r w:rsidR="007672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Д.В.Бубенцев</w:t>
            </w:r>
            <w:proofErr w:type="spellEnd"/>
          </w:p>
          <w:p w:rsidR="007672F9" w:rsidRDefault="007672F9" w:rsidP="007672F9">
            <w:pPr>
              <w:pStyle w:val="ConsNormal"/>
              <w:widowControl/>
              <w:ind w:righ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«</w:t>
            </w:r>
            <w:r w:rsidR="00CF4712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CF4712">
              <w:rPr>
                <w:rFonts w:ascii="Times New Roman" w:hAnsi="Times New Roman"/>
                <w:sz w:val="28"/>
                <w:szCs w:val="28"/>
              </w:rPr>
              <w:t>января</w:t>
            </w:r>
            <w:r w:rsidR="00BF10E6">
              <w:rPr>
                <w:rFonts w:ascii="Times New Roman" w:hAnsi="Times New Roman"/>
                <w:sz w:val="28"/>
                <w:szCs w:val="28"/>
              </w:rPr>
              <w:t xml:space="preserve"> 2025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7672F9" w:rsidRDefault="007672F9" w:rsidP="007672F9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7672F9" w:rsidP="007672F9">
            <w:pPr>
              <w:pStyle w:val="ConsNormal"/>
              <w:widowControl/>
              <w:ind w:righ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672F9" w:rsidRDefault="007672F9" w:rsidP="00AA7516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34313" w:rsidRDefault="00AA7516" w:rsidP="007672F9">
      <w:pPr>
        <w:pStyle w:val="ConsNormal"/>
        <w:widowControl/>
        <w:ind w:right="0"/>
        <w:jc w:val="right"/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8D2D0E" w:rsidRDefault="00E17947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1A1023">
        <w:rPr>
          <w:b w:val="0"/>
          <w:bCs w:val="0"/>
          <w:color w:val="auto"/>
          <w:sz w:val="28"/>
          <w:szCs w:val="28"/>
          <w:lang w:bidi="ar-SA"/>
        </w:rPr>
        <w:t xml:space="preserve">Доклад об </w:t>
      </w:r>
      <w:proofErr w:type="gramStart"/>
      <w:r w:rsidRPr="001A1023">
        <w:rPr>
          <w:b w:val="0"/>
          <w:bCs w:val="0"/>
          <w:color w:val="auto"/>
          <w:sz w:val="28"/>
          <w:szCs w:val="28"/>
          <w:lang w:bidi="ar-SA"/>
        </w:rPr>
        <w:t>антимонопольном</w:t>
      </w:r>
      <w:proofErr w:type="gramEnd"/>
      <w:r w:rsidRPr="001A1023">
        <w:rPr>
          <w:b w:val="0"/>
          <w:bCs w:val="0"/>
          <w:color w:val="auto"/>
          <w:sz w:val="28"/>
          <w:szCs w:val="28"/>
          <w:lang w:bidi="ar-SA"/>
        </w:rPr>
        <w:t xml:space="preserve"> комплаенсе</w:t>
      </w:r>
    </w:p>
    <w:p w:rsidR="008D2D0E" w:rsidRDefault="00730044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1A1023">
        <w:rPr>
          <w:b w:val="0"/>
          <w:bCs w:val="0"/>
          <w:color w:val="auto"/>
          <w:sz w:val="28"/>
          <w:szCs w:val="28"/>
          <w:lang w:bidi="ar-SA"/>
        </w:rPr>
        <w:t>администрации городского округа Жигулевск</w:t>
      </w:r>
      <w:r w:rsidR="00D757FF">
        <w:rPr>
          <w:b w:val="0"/>
          <w:bCs w:val="0"/>
          <w:color w:val="auto"/>
          <w:sz w:val="28"/>
          <w:szCs w:val="28"/>
          <w:lang w:bidi="ar-SA"/>
        </w:rPr>
        <w:t xml:space="preserve"> Самарской области</w:t>
      </w:r>
    </w:p>
    <w:p w:rsidR="00BB6746" w:rsidRDefault="00E17947" w:rsidP="00A97AA2">
      <w:pPr>
        <w:pStyle w:val="Bodytext30"/>
        <w:shd w:val="clear" w:color="auto" w:fill="auto"/>
        <w:spacing w:before="0" w:line="240" w:lineRule="auto"/>
        <w:ind w:left="120"/>
        <w:rPr>
          <w:b w:val="0"/>
          <w:bCs w:val="0"/>
          <w:color w:val="auto"/>
          <w:sz w:val="28"/>
          <w:szCs w:val="28"/>
          <w:lang w:bidi="ar-SA"/>
        </w:rPr>
      </w:pPr>
      <w:r w:rsidRPr="008D2D0E">
        <w:rPr>
          <w:b w:val="0"/>
          <w:bCs w:val="0"/>
          <w:color w:val="auto"/>
          <w:sz w:val="28"/>
          <w:szCs w:val="28"/>
          <w:lang w:bidi="ar-SA"/>
        </w:rPr>
        <w:t>за 202</w:t>
      </w:r>
      <w:r w:rsidR="00733253">
        <w:rPr>
          <w:b w:val="0"/>
          <w:bCs w:val="0"/>
          <w:color w:val="auto"/>
          <w:sz w:val="28"/>
          <w:szCs w:val="28"/>
          <w:lang w:bidi="ar-SA"/>
        </w:rPr>
        <w:t>4</w:t>
      </w:r>
      <w:r w:rsidRPr="008D2D0E">
        <w:rPr>
          <w:b w:val="0"/>
          <w:bCs w:val="0"/>
          <w:color w:val="auto"/>
          <w:sz w:val="28"/>
          <w:szCs w:val="28"/>
          <w:lang w:bidi="ar-SA"/>
        </w:rPr>
        <w:t xml:space="preserve"> год</w:t>
      </w:r>
    </w:p>
    <w:p w:rsidR="00F16DD0" w:rsidRPr="005333EF" w:rsidRDefault="00F16DD0" w:rsidP="005333EF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Во исполнение Указа Президента Российской Федерации от 21.12.2017 № 618 «Об основных направлениях государственной политики по развитию конкуренции», пункта 2 распоряжения Правительства Российской Федерации от 18.10.2018 № 2258-р, постановления администрации городского округа 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Жигулевск от 22.07.2019 № 1244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проведен анализ муниципальных правовых актов администрации городского округа Жигулевск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устанавливающих порядок по предоставлению субсидий юридическим лицам (за исключением субсидий государственным (муниципальным) учреждениям), индивидуальным предпринимателям</w:t>
      </w:r>
      <w:proofErr w:type="gramEnd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физическим лицам в соответствии </w:t>
      </w:r>
      <w:proofErr w:type="gramStart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</w:t>
      </w:r>
      <w:proofErr w:type="gramEnd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ст. 78 Бюджетного кодекса Российской Федерации, субсидий (кроме субсидий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собственность) некоммерческим организациям, не являющимся казенными учреждениями в соответствии со ст. 78.1 Бюджетного кодек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 Российской Федерации за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2024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733253" w:rsidRPr="00733253" w:rsidRDefault="00733253" w:rsidP="00E455BD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2024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оду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общий объем субсидий составил 213 458 551,28 рублей (юр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идическим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лицам – 209 914 991,28 рублей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НКО – 3 543 560,00 рублей)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  <w:r w:rsidR="00E455B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Субсидии предоставлялись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соответствии со ст.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78,</w:t>
      </w:r>
      <w:r w:rsidR="00053A6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78.1 </w:t>
      </w:r>
      <w:r w:rsidR="007403F2"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Бюджетного кодекса 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Российской Федерации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</w:t>
      </w:r>
      <w:r w:rsidR="00E455B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следующих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целях: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- возмещение затрат на обеспечение первичных мер пожарной безопасности;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проведение отдельных видов работ по ремонту многоквартирных домов и благоустройству их дворовых территорий;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обеспечение м</w:t>
      </w:r>
      <w:r w:rsidR="00C51DC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ер по противодействию терроризму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экстремисткой деятельности;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недополученных доходов от предоставления льгот на проезд пассажиров транспортным организациям, осуществляющим городские перевозки;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возмещение затрат на развитие малого и среднего предпринимательства;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</w:t>
      </w:r>
      <w:r w:rsidR="00C51DC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возмещение затрат по проведению мероприятий по обеспечению бесперебойного снабжения коммунальными услугами населения городского округа Жигулевск</w:t>
      </w:r>
      <w:r w:rsidR="00C51DC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;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</w:t>
      </w:r>
      <w:r w:rsidR="00C51DC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финансирование затрат, связанных с поддержкой социально-ориентированных некоммерческих организаций.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Все вышеперечисленные субсидии 2024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ода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предоставлены в соответствии с решением о бюджете городского округа Жигулевск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и принимаемыми в соответствии с ним муниципальными правовыми актами.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целях проведения анализа выяв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ления и оценки </w:t>
      </w:r>
      <w:proofErr w:type="spellStart"/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комплаенс-рисков</w:t>
      </w:r>
      <w:proofErr w:type="spellEnd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были проведены мероприятия по 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проверке Порядков и Соглашений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по предоставлению субсидий в 2024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году,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результате 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которых установлено следующее.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Порядки и Соглашения соответствуют положениям ст. 78, 78.1 Бюджетного кодекса </w:t>
      </w:r>
      <w:r w:rsidR="007403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Российской Федерации</w:t>
      </w:r>
      <w:r w:rsidR="008C667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общим </w:t>
      </w:r>
      <w:hyperlink r:id="rId8" w:history="1">
        <w:r w:rsidRPr="00733253">
          <w:rPr>
            <w:rFonts w:ascii="Times New Roman" w:eastAsia="Times New Roman" w:hAnsi="Times New Roman" w:cs="Times New Roman"/>
            <w:sz w:val="28"/>
            <w:szCs w:val="28"/>
            <w:lang w:bidi="ar-SA"/>
          </w:rPr>
          <w:t>требованиям</w:t>
        </w:r>
      </w:hyperlink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установленным </w:t>
      </w:r>
      <w:r w:rsidR="008C667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остановлением Правительства </w:t>
      </w:r>
      <w:r w:rsidR="008C667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Российской Федерации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8C667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лицам, индивидуальным предпринимателям, а также физическим лицам - производителям товаров</w:t>
      </w:r>
      <w:proofErr w:type="gramEnd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</w:t>
      </w:r>
      <w:proofErr w:type="gramStart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работ, услуг и проведение отборов получателей указанных субсидий, в том числе грантов в форме субсидий», а именно:  содержат категории и  критерии отбора юридических лиц, индивидуальных предпринимателей, физических лиц - производителей товаров, работ, услуг, имеющих право на получение субсидий, цели, условия и порядок предоставления субсидий, способы проведения отбора, порядок возврата субсидий в соответствующий бюджет в случае нарушения условий, установленных при их предоставлении</w:t>
      </w:r>
      <w:proofErr w:type="gramEnd"/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положения об обязательной п</w:t>
      </w:r>
      <w:r w:rsidR="008C667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роверке главным распорядителем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бюджетных средств, предоставляющим субсидию, и органом муниципального финансового контроля.</w:t>
      </w:r>
    </w:p>
    <w:p w:rsidR="00733253" w:rsidRP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Предупреждений, предписаний, жалоб и судебных актов к муниципальным правовым актам по предоставлению субсидий в 2024</w:t>
      </w:r>
      <w:r w:rsidR="008C667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</w:t>
      </w:r>
      <w:r w:rsidR="008C667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оду</w:t>
      </w: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не имеется. </w:t>
      </w:r>
    </w:p>
    <w:p w:rsidR="00733253" w:rsidRDefault="00733253" w:rsidP="00733253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3325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Существенных нарушений в сфере законодательства о защите конкуренции при предоставлении субсидий юридическим лицам, в том числе муниципальным предприятиям и НКО не выявлено.</w:t>
      </w:r>
    </w:p>
    <w:p w:rsidR="00C66019" w:rsidRPr="00C66019" w:rsidRDefault="00C66019" w:rsidP="00C66019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2024 году принято 45 нормативных правовых актов в форме постановления администрации городского округа Жигулевск</w:t>
      </w:r>
      <w:r w:rsidR="007A2B07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которые могут привести к нарушению антимонопольного законодательства. В проектах нормативных правовых актов отсутствовали положения, создающие дискриминационные условия для хозяйствующих субъектов.</w:t>
      </w:r>
    </w:p>
    <w:p w:rsidR="00C66019" w:rsidRPr="00C66019" w:rsidRDefault="008E7927" w:rsidP="00C66019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</w:t>
      </w:r>
      <w:r w:rsidR="00C66019"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 отчетный период:</w:t>
      </w:r>
    </w:p>
    <w:p w:rsidR="00C66019" w:rsidRPr="00C66019" w:rsidRDefault="00C66019" w:rsidP="00C66019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отсутствуют возбужденные антимонопольным органом в отношении администрации городского округа Жигулевск </w:t>
      </w:r>
      <w:r w:rsidR="00E316E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Самарской области </w:t>
      </w: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антимонопольные дела;</w:t>
      </w:r>
    </w:p>
    <w:p w:rsidR="00C66019" w:rsidRPr="00C66019" w:rsidRDefault="00C66019" w:rsidP="00C66019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- отсутствуют выданные антимонопольным органом администрации городского округа Жигуле</w:t>
      </w:r>
      <w:proofErr w:type="gramStart"/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вск пр</w:t>
      </w:r>
      <w:proofErr w:type="gramEnd"/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едупреждения о прекращении действий (бездействия), об отмене или изменении актов, которые содержат признаки нарушения антимонопольного законодательства, либо об устранении причин и </w:t>
      </w: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условий, способствовавших возникновению такого нарушения, и о принятии мер по устранению последствий такого нарушения; </w:t>
      </w:r>
    </w:p>
    <w:p w:rsidR="00C66019" w:rsidRPr="00C66019" w:rsidRDefault="00C66019" w:rsidP="00C66019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отсутствуют направленные антимонопольным органом администрации городского округа Жигулевск </w:t>
      </w:r>
      <w:r w:rsidR="00E2435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Самарской области </w:t>
      </w: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предостережения о недопустимости совершения действий, которые могут привести к нарушению антимонопольного законодательства;</w:t>
      </w:r>
    </w:p>
    <w:p w:rsidR="00C66019" w:rsidRPr="00C66019" w:rsidRDefault="00C66019" w:rsidP="002F6575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- отсутствуют судебные акты о признании действий (решений) администрации городского округа Жигулевск </w:t>
      </w:r>
      <w:r w:rsidR="008B51F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Самарской области </w:t>
      </w:r>
      <w:proofErr w:type="gramStart"/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незаконными</w:t>
      </w:r>
      <w:proofErr w:type="gramEnd"/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которые привели к нарушению ан</w:t>
      </w:r>
      <w:r w:rsidR="002F657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тимонопольного законодательства</w:t>
      </w: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C66019" w:rsidRPr="00C66019" w:rsidRDefault="00C66019" w:rsidP="00C66019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proofErr w:type="gramStart"/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На основании пункта 17 </w:t>
      </w:r>
      <w:r w:rsidR="0093049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распоряжения Правительства Российской Федерации</w:t>
      </w: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от 18.10.2018 № 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 в</w:t>
      </w:r>
      <w:r w:rsidR="00B9607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связи</w:t>
      </w:r>
      <w:r w:rsidRP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 отсутствием нарушений антимонопольного законодательства не устанавливались причины и условия нарушения законодательства в указанной сфере, а также не составлялся Перечень нарушений антимонопольного законодательства в связи с их отсутствием.</w:t>
      </w:r>
      <w:proofErr w:type="gramEnd"/>
    </w:p>
    <w:p w:rsidR="00A97AA2" w:rsidRDefault="005E74A8" w:rsidP="009D5120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 учетом изложенного, в 202</w:t>
      </w:r>
      <w:r w:rsidR="00C6601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году достигнуты следующие ключевые показатели: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3118"/>
        <w:gridCol w:w="3119"/>
      </w:tblGrid>
      <w:tr w:rsidR="005E74A8" w:rsidRPr="004974CE" w:rsidTr="006A2DCA">
        <w:tc>
          <w:tcPr>
            <w:tcW w:w="675" w:type="dxa"/>
            <w:vAlign w:val="center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№ </w:t>
            </w:r>
            <w:proofErr w:type="spellStart"/>
            <w:proofErr w:type="gramStart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spellEnd"/>
            <w:proofErr w:type="gramEnd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/</w:t>
            </w:r>
            <w:proofErr w:type="spellStart"/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п</w:t>
            </w:r>
            <w:proofErr w:type="spellEnd"/>
          </w:p>
        </w:tc>
        <w:tc>
          <w:tcPr>
            <w:tcW w:w="2694" w:type="dxa"/>
            <w:vAlign w:val="center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Наименование показателя</w:t>
            </w:r>
          </w:p>
        </w:tc>
        <w:tc>
          <w:tcPr>
            <w:tcW w:w="3118" w:type="dxa"/>
            <w:vAlign w:val="center"/>
          </w:tcPr>
          <w:p w:rsidR="005E74A8" w:rsidRPr="005E74A8" w:rsidRDefault="005E74A8" w:rsidP="00F463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Целевое значение показателей на 202</w:t>
            </w:r>
            <w:r w:rsidR="00F4636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год</w:t>
            </w:r>
          </w:p>
        </w:tc>
        <w:tc>
          <w:tcPr>
            <w:tcW w:w="3119" w:type="dxa"/>
            <w:vAlign w:val="center"/>
          </w:tcPr>
          <w:p w:rsidR="005E74A8" w:rsidRPr="005E74A8" w:rsidRDefault="00700F94" w:rsidP="00F4636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Фактическое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значение показателей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за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202</w:t>
            </w:r>
            <w:r w:rsidR="00F4636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 год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Количество нарушений антимонопольного законодательства со стороны администрации, единиц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5E74A8" w:rsidRDefault="00FD48B6" w:rsidP="00FD48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Доля принятых нормативных правовых актов администрации, в которых риски нарушения </w:t>
            </w: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антимонопольного законодательства выявлены антимонопольным органом,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0</w:t>
            </w:r>
          </w:p>
        </w:tc>
        <w:tc>
          <w:tcPr>
            <w:tcW w:w="3119" w:type="dxa"/>
          </w:tcPr>
          <w:p w:rsidR="005E74A8" w:rsidRPr="00FD48B6" w:rsidRDefault="00FD48B6" w:rsidP="00FD48B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3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spacing w:line="322" w:lineRule="exact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разработанных администрацией проектов нормативных правовых актов, в которых риски нарушения антимонопольного законодательства выявлены правовым управлением</w:t>
            </w:r>
          </w:p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администрации,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  <w:tc>
          <w:tcPr>
            <w:tcW w:w="3119" w:type="dxa"/>
          </w:tcPr>
          <w:p w:rsidR="005E74A8" w:rsidRPr="005E74A8" w:rsidRDefault="00FD48B6" w:rsidP="00FD48B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0</w:t>
            </w:r>
          </w:p>
        </w:tc>
      </w:tr>
      <w:tr w:rsidR="005E74A8" w:rsidRPr="004974CE" w:rsidTr="006A2DCA">
        <w:tc>
          <w:tcPr>
            <w:tcW w:w="675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</w:p>
        </w:tc>
        <w:tc>
          <w:tcPr>
            <w:tcW w:w="2694" w:type="dxa"/>
          </w:tcPr>
          <w:p w:rsidR="005E74A8" w:rsidRPr="005E74A8" w:rsidRDefault="005E74A8" w:rsidP="00AB3704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Доля муниципальных служащих администрации, участвующих в обучающих мероприятиях по вопросам функционирования антимонопольного комплаенса, а также прошедших самостоятельное изучение положений антимонопольного законодательства, процентов</w:t>
            </w:r>
          </w:p>
        </w:tc>
        <w:tc>
          <w:tcPr>
            <w:tcW w:w="3118" w:type="dxa"/>
          </w:tcPr>
          <w:p w:rsidR="005E74A8" w:rsidRPr="005E74A8" w:rsidRDefault="005E74A8" w:rsidP="00AB37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5E74A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100</w:t>
            </w:r>
          </w:p>
        </w:tc>
        <w:tc>
          <w:tcPr>
            <w:tcW w:w="3119" w:type="dxa"/>
          </w:tcPr>
          <w:p w:rsidR="005E74A8" w:rsidRPr="005E74A8" w:rsidRDefault="00E71D2D" w:rsidP="00E71D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100</w:t>
            </w:r>
          </w:p>
        </w:tc>
      </w:tr>
    </w:tbl>
    <w:p w:rsidR="007019D5" w:rsidRDefault="007019D5" w:rsidP="005E74A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5E74A8" w:rsidRPr="009D5120" w:rsidRDefault="005E74A8" w:rsidP="005E74A8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Таким образом, 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План мероприятий («Дорожная карта») по снижению </w:t>
      </w:r>
      <w:proofErr w:type="spellStart"/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комплаенс-рисков</w:t>
      </w:r>
      <w:proofErr w:type="spellEnd"/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администрации городского округа Жигулевск</w:t>
      </w:r>
      <w:r w:rsidR="004B6DB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 202</w:t>
      </w:r>
      <w:r w:rsidR="00E56B7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</w:t>
      </w:r>
      <w:r w:rsidR="00252DB9" w:rsidRPr="00252DB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</w:t>
      </w:r>
      <w:r w:rsidR="004B555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выполняется, ч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то свидетельствует об эффективности антимонопольного комплаенса в </w:t>
      </w:r>
      <w:r w:rsidR="00DF1D8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</w:t>
      </w:r>
      <w:r w:rsidR="004B555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дминистрации городского округа Жигулевск</w:t>
      </w:r>
      <w:r w:rsidR="004B6DB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Самарской области</w:t>
      </w:r>
      <w:r w:rsidRPr="005E74A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достаточности проводимых мероприятий.</w:t>
      </w:r>
    </w:p>
    <w:sectPr w:rsidR="005E74A8" w:rsidRPr="009D5120" w:rsidSect="004B0189">
      <w:pgSz w:w="11900" w:h="16840"/>
      <w:pgMar w:top="567" w:right="709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5A9" w:rsidRDefault="006715A9" w:rsidP="00BB6746">
      <w:r>
        <w:separator/>
      </w:r>
    </w:p>
  </w:endnote>
  <w:endnote w:type="continuationSeparator" w:id="0">
    <w:p w:rsidR="006715A9" w:rsidRDefault="006715A9" w:rsidP="00BB6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5A9" w:rsidRDefault="006715A9"/>
  </w:footnote>
  <w:footnote w:type="continuationSeparator" w:id="0">
    <w:p w:rsidR="006715A9" w:rsidRDefault="006715A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3189D"/>
    <w:multiLevelType w:val="multilevel"/>
    <w:tmpl w:val="0EA63A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C25A66"/>
    <w:multiLevelType w:val="multilevel"/>
    <w:tmpl w:val="6414C8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9E6C4E"/>
    <w:multiLevelType w:val="multilevel"/>
    <w:tmpl w:val="8DA4676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BB6746"/>
    <w:rsid w:val="00027518"/>
    <w:rsid w:val="00053A64"/>
    <w:rsid w:val="00086296"/>
    <w:rsid w:val="000A7C1E"/>
    <w:rsid w:val="00105CAA"/>
    <w:rsid w:val="001214B2"/>
    <w:rsid w:val="00170126"/>
    <w:rsid w:val="001943A3"/>
    <w:rsid w:val="001A1023"/>
    <w:rsid w:val="001C58EE"/>
    <w:rsid w:val="001E065C"/>
    <w:rsid w:val="001E0D90"/>
    <w:rsid w:val="00252DB9"/>
    <w:rsid w:val="002645FA"/>
    <w:rsid w:val="002F6575"/>
    <w:rsid w:val="00426D84"/>
    <w:rsid w:val="004507D7"/>
    <w:rsid w:val="00450894"/>
    <w:rsid w:val="00477CF4"/>
    <w:rsid w:val="00497B5B"/>
    <w:rsid w:val="004A30D2"/>
    <w:rsid w:val="004B0189"/>
    <w:rsid w:val="004B5559"/>
    <w:rsid w:val="004B6DB0"/>
    <w:rsid w:val="004C6A88"/>
    <w:rsid w:val="005254CB"/>
    <w:rsid w:val="005333EF"/>
    <w:rsid w:val="00562CF5"/>
    <w:rsid w:val="005A14EC"/>
    <w:rsid w:val="005E74A8"/>
    <w:rsid w:val="0060241B"/>
    <w:rsid w:val="00606016"/>
    <w:rsid w:val="00623676"/>
    <w:rsid w:val="006318EE"/>
    <w:rsid w:val="00634313"/>
    <w:rsid w:val="006715A9"/>
    <w:rsid w:val="006A2DCA"/>
    <w:rsid w:val="006F258C"/>
    <w:rsid w:val="00700F94"/>
    <w:rsid w:val="007019D5"/>
    <w:rsid w:val="00727F43"/>
    <w:rsid w:val="00730044"/>
    <w:rsid w:val="00733253"/>
    <w:rsid w:val="007403F2"/>
    <w:rsid w:val="007672F9"/>
    <w:rsid w:val="007A2B07"/>
    <w:rsid w:val="007B3103"/>
    <w:rsid w:val="007C1603"/>
    <w:rsid w:val="007F5402"/>
    <w:rsid w:val="00812D05"/>
    <w:rsid w:val="00865B82"/>
    <w:rsid w:val="00871993"/>
    <w:rsid w:val="008B4234"/>
    <w:rsid w:val="008B51FD"/>
    <w:rsid w:val="008C6671"/>
    <w:rsid w:val="008D2D0E"/>
    <w:rsid w:val="008D3A1B"/>
    <w:rsid w:val="008E7927"/>
    <w:rsid w:val="00930495"/>
    <w:rsid w:val="00940A3A"/>
    <w:rsid w:val="00982FAE"/>
    <w:rsid w:val="0098728F"/>
    <w:rsid w:val="009A0291"/>
    <w:rsid w:val="009D5120"/>
    <w:rsid w:val="00A23D16"/>
    <w:rsid w:val="00A7237C"/>
    <w:rsid w:val="00A97AA2"/>
    <w:rsid w:val="00AA7516"/>
    <w:rsid w:val="00AB715D"/>
    <w:rsid w:val="00AD302C"/>
    <w:rsid w:val="00AD73B0"/>
    <w:rsid w:val="00AE4FA4"/>
    <w:rsid w:val="00B51A43"/>
    <w:rsid w:val="00B613B3"/>
    <w:rsid w:val="00B96073"/>
    <w:rsid w:val="00BB3577"/>
    <w:rsid w:val="00BB6746"/>
    <w:rsid w:val="00BC2AE3"/>
    <w:rsid w:val="00BC69FB"/>
    <w:rsid w:val="00BD38D1"/>
    <w:rsid w:val="00BF10E6"/>
    <w:rsid w:val="00C15378"/>
    <w:rsid w:val="00C2680D"/>
    <w:rsid w:val="00C51DC4"/>
    <w:rsid w:val="00C66019"/>
    <w:rsid w:val="00CC4628"/>
    <w:rsid w:val="00CE029A"/>
    <w:rsid w:val="00CF4712"/>
    <w:rsid w:val="00D22801"/>
    <w:rsid w:val="00D60F56"/>
    <w:rsid w:val="00D757FF"/>
    <w:rsid w:val="00DF1D82"/>
    <w:rsid w:val="00E17947"/>
    <w:rsid w:val="00E24350"/>
    <w:rsid w:val="00E316E0"/>
    <w:rsid w:val="00E346E5"/>
    <w:rsid w:val="00E455BD"/>
    <w:rsid w:val="00E4795C"/>
    <w:rsid w:val="00E56B7D"/>
    <w:rsid w:val="00E71D2D"/>
    <w:rsid w:val="00EE1D97"/>
    <w:rsid w:val="00F16DD0"/>
    <w:rsid w:val="00F3757E"/>
    <w:rsid w:val="00F4636D"/>
    <w:rsid w:val="00FD4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674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B6746"/>
    <w:rPr>
      <w:color w:val="0066CC"/>
      <w:u w:val="single"/>
    </w:rPr>
  </w:style>
  <w:style w:type="character" w:customStyle="1" w:styleId="Bodytext2Exact">
    <w:name w:val="Body text (2) Exact"/>
    <w:basedOn w:val="a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BB67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">
    <w:name w:val="Header or footer_"/>
    <w:basedOn w:val="a0"/>
    <w:link w:val="Headerorfooter0"/>
    <w:rsid w:val="00BB67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BB67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1">
    <w:name w:val="Body text (2)"/>
    <w:basedOn w:val="Bodytext2"/>
    <w:rsid w:val="00BB6746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11ptBoldSmallCaps">
    <w:name w:val="Body text (2) + 11 pt;Bold;Small Caps"/>
    <w:basedOn w:val="Bodytext2"/>
    <w:rsid w:val="00BB6746"/>
    <w:rPr>
      <w:b/>
      <w:bCs/>
      <w:smallCap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Bodytext213pt">
    <w:name w:val="Body text (2) + 13 pt"/>
    <w:basedOn w:val="Bodytext2"/>
    <w:rsid w:val="00BB6746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Bodytext22">
    <w:name w:val="Body text (2)"/>
    <w:basedOn w:val="Bodytext2"/>
    <w:rsid w:val="00BB6746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4pt">
    <w:name w:val="Body text (2) + 4 pt"/>
    <w:basedOn w:val="Bodytext2"/>
    <w:rsid w:val="00BB6746"/>
    <w:rPr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Bodytext23">
    <w:name w:val="Body text (2)"/>
    <w:basedOn w:val="Bodytext2"/>
    <w:rsid w:val="00BB6746"/>
    <w:rPr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Bodytext2Constantia13pt">
    <w:name w:val="Body text (2) + Constantia;13 pt"/>
    <w:basedOn w:val="Bodytext2"/>
    <w:rsid w:val="00BB6746"/>
    <w:rPr>
      <w:rFonts w:ascii="Constantia" w:eastAsia="Constantia" w:hAnsi="Constantia" w:cs="Constantia"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BB6746"/>
    <w:pPr>
      <w:shd w:val="clear" w:color="auto" w:fill="FFFFFF"/>
      <w:spacing w:after="300" w:line="317" w:lineRule="exact"/>
      <w:ind w:hanging="19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30">
    <w:name w:val="Body text (3)"/>
    <w:basedOn w:val="a"/>
    <w:link w:val="Bodytext3"/>
    <w:rsid w:val="00BB6746"/>
    <w:pPr>
      <w:shd w:val="clear" w:color="auto" w:fill="FFFFFF"/>
      <w:spacing w:before="1260" w:line="470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erorfooter0">
    <w:name w:val="Header or footer"/>
    <w:basedOn w:val="a"/>
    <w:link w:val="Headerorfooter"/>
    <w:rsid w:val="00BB674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ConsNormal">
    <w:name w:val="ConsNormal"/>
    <w:link w:val="ConsNormal0"/>
    <w:uiPriority w:val="99"/>
    <w:rsid w:val="00634313"/>
    <w:pPr>
      <w:autoSpaceDE w:val="0"/>
      <w:autoSpaceDN w:val="0"/>
      <w:adjustRightInd w:val="0"/>
      <w:ind w:right="19772" w:firstLine="720"/>
    </w:pPr>
    <w:rPr>
      <w:rFonts w:ascii="Arial" w:eastAsia="Times New Roman" w:hAnsi="Arial" w:cs="Times New Roman"/>
      <w:sz w:val="22"/>
      <w:szCs w:val="22"/>
      <w:lang w:bidi="ar-SA"/>
    </w:rPr>
  </w:style>
  <w:style w:type="character" w:customStyle="1" w:styleId="ConsNormal0">
    <w:name w:val="ConsNormal Знак"/>
    <w:link w:val="ConsNormal"/>
    <w:uiPriority w:val="99"/>
    <w:locked/>
    <w:rsid w:val="00634313"/>
    <w:rPr>
      <w:rFonts w:ascii="Arial" w:eastAsia="Times New Roman" w:hAnsi="Arial" w:cs="Times New Roman"/>
      <w:sz w:val="22"/>
      <w:szCs w:val="22"/>
      <w:lang w:bidi="ar-SA"/>
    </w:rPr>
  </w:style>
  <w:style w:type="paragraph" w:styleId="a4">
    <w:name w:val="header"/>
    <w:basedOn w:val="a"/>
    <w:link w:val="a5"/>
    <w:uiPriority w:val="99"/>
    <w:semiHidden/>
    <w:unhideWhenUsed/>
    <w:rsid w:val="001C58E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C58EE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1C58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C58EE"/>
    <w:rPr>
      <w:color w:val="000000"/>
    </w:rPr>
  </w:style>
  <w:style w:type="paragraph" w:customStyle="1" w:styleId="Default">
    <w:name w:val="Default"/>
    <w:rsid w:val="005E74A8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customStyle="1" w:styleId="ConsPlusTitle">
    <w:name w:val="ConsPlusTitle"/>
    <w:rsid w:val="005E74A8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bidi="ar-SA"/>
    </w:rPr>
  </w:style>
  <w:style w:type="paragraph" w:customStyle="1" w:styleId="ConsPlusNormal">
    <w:name w:val="ConsPlusNormal"/>
    <w:rsid w:val="00252DB9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table" w:styleId="a8">
    <w:name w:val="Table Grid"/>
    <w:basedOn w:val="a1"/>
    <w:uiPriority w:val="59"/>
    <w:rsid w:val="007672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154324B91CB99053CCAA7AB73A8FC40A5484018BFB6A1D1068F3CD19FE8C540F97C44A1F52FC13592761F0FCE3E3E68EF294F6ACE96625Cy8y0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90641-6E54-4C2D-BB98-3DDDDCBC4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5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53</cp:revision>
  <dcterms:created xsi:type="dcterms:W3CDTF">2022-03-02T07:04:00Z</dcterms:created>
  <dcterms:modified xsi:type="dcterms:W3CDTF">2025-01-13T11:04:00Z</dcterms:modified>
</cp:coreProperties>
</file>