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F9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636"/>
      </w:tblGrid>
      <w:tr w:rsidR="007672F9" w:rsidTr="007672F9">
        <w:tc>
          <w:tcPr>
            <w:tcW w:w="5070" w:type="dxa"/>
          </w:tcPr>
          <w:p w:rsidR="007672F9" w:rsidRDefault="007672F9" w:rsidP="00AA7516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36" w:type="dxa"/>
          </w:tcPr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E60460">
              <w:rPr>
                <w:rFonts w:ascii="Times New Roman" w:hAnsi="Times New Roman"/>
                <w:sz w:val="28"/>
                <w:szCs w:val="28"/>
              </w:rPr>
              <w:t>ородского</w:t>
            </w:r>
            <w:r w:rsidRPr="008F52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0460">
              <w:rPr>
                <w:rFonts w:ascii="Times New Roman" w:hAnsi="Times New Roman"/>
                <w:sz w:val="28"/>
                <w:szCs w:val="28"/>
              </w:rPr>
              <w:t>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Жигулевск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Самарской области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0460">
              <w:rPr>
                <w:rFonts w:ascii="Times New Roman" w:hAnsi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И.Г.Сухих</w:t>
            </w:r>
          </w:p>
          <w:p w:rsidR="007672F9" w:rsidRDefault="007672F9" w:rsidP="007672F9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«___» __________2024 г.</w:t>
            </w:r>
          </w:p>
          <w:p w:rsidR="007672F9" w:rsidRDefault="007672F9" w:rsidP="007672F9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7672F9" w:rsidP="00AA7516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4313" w:rsidRDefault="00AA7516" w:rsidP="007672F9">
      <w:pPr>
        <w:pStyle w:val="ConsNormal"/>
        <w:widowControl/>
        <w:ind w:right="0"/>
        <w:jc w:val="right"/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8D2D0E" w:rsidRDefault="00E17947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Доклад об </w:t>
      </w:r>
      <w:proofErr w:type="gramStart"/>
      <w:r w:rsidRPr="001A1023">
        <w:rPr>
          <w:b w:val="0"/>
          <w:bCs w:val="0"/>
          <w:color w:val="auto"/>
          <w:sz w:val="28"/>
          <w:szCs w:val="28"/>
          <w:lang w:bidi="ar-SA"/>
        </w:rPr>
        <w:t>антимонопольном</w:t>
      </w:r>
      <w:proofErr w:type="gramEnd"/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 </w:t>
      </w:r>
      <w:proofErr w:type="spellStart"/>
      <w:r w:rsidRPr="001A1023">
        <w:rPr>
          <w:b w:val="0"/>
          <w:bCs w:val="0"/>
          <w:color w:val="auto"/>
          <w:sz w:val="28"/>
          <w:szCs w:val="28"/>
          <w:lang w:bidi="ar-SA"/>
        </w:rPr>
        <w:t>комплаенсе</w:t>
      </w:r>
      <w:proofErr w:type="spellEnd"/>
    </w:p>
    <w:p w:rsidR="008D2D0E" w:rsidRDefault="00730044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>администрации городского округа Жигулевск</w:t>
      </w:r>
    </w:p>
    <w:p w:rsidR="00BB6746" w:rsidRDefault="00E17947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8D2D0E">
        <w:rPr>
          <w:b w:val="0"/>
          <w:bCs w:val="0"/>
          <w:color w:val="auto"/>
          <w:sz w:val="28"/>
          <w:szCs w:val="28"/>
          <w:lang w:bidi="ar-SA"/>
        </w:rPr>
        <w:t>за 202</w:t>
      </w:r>
      <w:r w:rsidR="00C15378">
        <w:rPr>
          <w:b w:val="0"/>
          <w:bCs w:val="0"/>
          <w:color w:val="auto"/>
          <w:sz w:val="28"/>
          <w:szCs w:val="28"/>
          <w:lang w:bidi="ar-SA"/>
        </w:rPr>
        <w:t>3</w:t>
      </w:r>
      <w:r w:rsidRPr="008D2D0E">
        <w:rPr>
          <w:b w:val="0"/>
          <w:bCs w:val="0"/>
          <w:color w:val="auto"/>
          <w:sz w:val="28"/>
          <w:szCs w:val="28"/>
          <w:lang w:bidi="ar-SA"/>
        </w:rPr>
        <w:t xml:space="preserve"> год</w:t>
      </w:r>
    </w:p>
    <w:p w:rsidR="00F16DD0" w:rsidRPr="005333EF" w:rsidRDefault="00F16DD0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 исполнение Указа Президента Российской Федерации от 21.12.2017 № 618 «Об основных направлениях государственной политики по развитию конкуренции», пункта 2 распоряжения Правительства Российской Федерации от 18.10.2018 № 2258-р, постановления администрации городского округа Жигулевск от 22.07.2019 № 1244, финансовым управлением администрации городского округа Жигулевск, являющимся уполномоченным подразделением по организации антимонопольного комплаенса в части выбора форм бюджетных ассигнований, проведен анализ муниципальных правовых актов</w:t>
      </w:r>
      <w:proofErr w:type="gramEnd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администрации городского округа Жигулевск, устанавливающих порядок по предоставлению субсидий юридическим лицам (за исключением субсидий государственным (муниципальным) учреждениям), индивидуальным предпринимателям, физическим лицам в соответствии со ст. 78 Бюджетного кодекса Российской Федерации, субсидий (кроме субсидий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собственность) некоммерческим организациям, не являющимся казенными учреждениями в</w:t>
      </w:r>
      <w:proofErr w:type="gramEnd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соответствии</w:t>
      </w:r>
      <w:proofErr w:type="gramEnd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 ст. 78.1 Бюджетного кодекса Российской Федерации за 2023</w:t>
      </w:r>
      <w:r w:rsidR="009A029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4B018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A97AA2" w:rsidRPr="005333EF" w:rsidRDefault="00A97AA2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В результате проведенног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 анализа установлено следующее.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2023</w:t>
      </w:r>
      <w:r w:rsidR="004B018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C26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оду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общий объем субсидий составил 301229751,88 рублей (юр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идическим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лицам –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295462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902,88 рублей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НКО –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5766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849,00 рублей) предоставленных в соответствии со ст.78,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78.1 БК РФ юридическим лицам и некоммерческим организациям в целях: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обеспечение первичных мер пожарной безопасности;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проведение отдельных видов работ по ремонту многоквартирных домов и благоустройству их дворовых территорий;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обеспечение мер по противодействию терроризма и экстремисткой деятельности;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недополученных доходов от предоставления льгот на проезд пассажиров транспортным организациям, осуществляющим городские перевозки;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развитие малого и среднего предпринимательства;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</w:t>
      </w:r>
      <w:r w:rsidR="007672F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возмещение затрат по проведению мероприятий по обеспечению бесперебойного снабжения коммунальными услугами населения городского округа Жигулевск;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</w:t>
      </w:r>
      <w:r w:rsidR="007672F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финансирование затрат, связанных с поддержкой социально-ориентированных некоммерческих организаций;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реализация направления расходов по использованию резервного фонда.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Все вышеперечисленные субсидии 2023</w:t>
      </w:r>
      <w:r w:rsidR="004B018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C26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ода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предоставлены в соответствии с решением о бюджете городского округа Жигулевск и принимаемыми в соответствии с ним муниципальными правовыми актами (далее - Порядок предоставления субсидии и Соглашение о предоставлении субсидии).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целях проведения анализа выявления и оценки </w:t>
      </w:r>
      <w:proofErr w:type="spellStart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финансовым управлением были проведены мероприятия по проверке </w:t>
      </w:r>
      <w:r w:rsidR="00C26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Порядков и Соглашений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 предоставлению субсидий в 2023</w:t>
      </w:r>
      <w:r w:rsidR="004B018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C26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оду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в результате </w:t>
      </w:r>
      <w:r w:rsidR="00C26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которых установлено следующее: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Порядки и Соглашения соответствуют положениям ст. 78, 78.1 Бюджетного кодекса и общим </w:t>
      </w:r>
      <w:hyperlink r:id="rId8" w:history="1">
        <w:r w:rsidRPr="005333EF">
          <w:rPr>
            <w:rFonts w:ascii="Times New Roman" w:eastAsia="Times New Roman" w:hAnsi="Times New Roman" w:cs="Times New Roman"/>
            <w:sz w:val="28"/>
            <w:szCs w:val="28"/>
            <w:lang w:bidi="ar-SA"/>
          </w:rPr>
          <w:t>требованиям</w:t>
        </w:r>
      </w:hyperlink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установленным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</w:t>
      </w:r>
      <w:proofErr w:type="gramEnd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Российской Федерации и отдельных положений некоторых актов Правительства Российской Федерации», а именно: содержат категории и критерии отбора юридических лиц, индивидуальных предпринимателей, физических лиц - производителей товаров, работ, услуг, имеющих право на получение субсидий, цели, условия и порядок предоставления субсидий, способы проведения отбора, порядок возврата субсидий в соответствующий бюджет в случае нарушения условий, установленных при их предоставлении, положения об обязательной проверке главным</w:t>
      </w:r>
      <w:proofErr w:type="gramEnd"/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распорядителем бюджетных средств, предоставляющим субсидию, и органом муниципального финансового контроля.</w:t>
      </w:r>
    </w:p>
    <w:p w:rsidR="005333EF" w:rsidRPr="005333EF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Предупреждений, предписаний, жалоб и судебных актов к муниципальным правовым актам по предоставлению субсидий в 2023</w:t>
      </w:r>
      <w:r w:rsidR="004B018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C26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оду</w:t>
      </w: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не имеется.</w:t>
      </w:r>
    </w:p>
    <w:p w:rsidR="008D2D0E" w:rsidRDefault="005333EF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333E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Существенных нарушений в сфере законодательства о защите конкуренции при предоставлении субсидий юридическим лицам, в том числе муниципальным предприятиям и НКО не выявлено.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2023 году приняты</w:t>
      </w: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61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нормативный правовой</w:t>
      </w: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кт</w:t>
      </w: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форме постановления администрации городского округа Жигулевск, которые могут привести к нарушению антимонопольного законодательства. В проектах нормативных правовых актов отсутствовали положения, создающие дискриминационные условия для хозяйствующих субъектов.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Кроме того, по имеющейся информации за отчетный период: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- отсутствуют возбужденные антимонопольным органом в отношении администрации городского округа Жигулевск антимонопольные дела; 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отсутствуют выданные антимонопольным органом администрации городского округа Жигуле</w:t>
      </w:r>
      <w:proofErr w:type="gramStart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вск пр</w:t>
      </w:r>
      <w:proofErr w:type="gramEnd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нарушения; 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отсутствуют направленные антимонопольным органом администрации городского округа Жигуле</w:t>
      </w:r>
      <w:proofErr w:type="gramStart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вск пр</w:t>
      </w:r>
      <w:proofErr w:type="gramEnd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едостережения о недопустимости совершения действий, которые могут привести к нарушению антимонопольного законодательства;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судебные акты о признании действий (решений) администрации городского округа Жигулевск </w:t>
      </w:r>
      <w:proofErr w:type="gramStart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незаконными</w:t>
      </w:r>
      <w:proofErr w:type="gramEnd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которые привели к нарушению антимонопольного законодательства;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предложения по включению в проекты нормативных правовых актов каких-либо правил, регулирующих отношения в сфере антимонопольного законодательства, не направлялись.</w:t>
      </w:r>
    </w:p>
    <w:p w:rsidR="00A7237C" w:rsidRPr="00A7237C" w:rsidRDefault="00A7237C" w:rsidP="00A7237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 основании пункта 17 распоряжения Правительства РФ от 18.10.2018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 в связи с отсутствием нарушений антимонопольного законодательства в рамках имеющихся полномочий не устанавливались причины и условия нарушения законодательства в указанной сфере, а также не составлялся Перечень нарушений антимонопольного законодательства в связи</w:t>
      </w:r>
      <w:proofErr w:type="gramEnd"/>
      <w:r w:rsidRPr="00A7237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 их отсутствием.</w:t>
      </w:r>
    </w:p>
    <w:p w:rsidR="00B613B3" w:rsidRDefault="005E74A8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учетом изложенного, в 202</w:t>
      </w:r>
      <w:r w:rsidR="00CC462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 достигнуты следующие ключевые показатели:</w:t>
      </w:r>
    </w:p>
    <w:p w:rsidR="00A97AA2" w:rsidRDefault="00A97AA2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A97AA2" w:rsidRPr="005E74A8" w:rsidRDefault="00A97AA2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3118"/>
        <w:gridCol w:w="3119"/>
      </w:tblGrid>
      <w:tr w:rsidR="005E74A8" w:rsidRPr="004974CE" w:rsidTr="006A2DCA">
        <w:tc>
          <w:tcPr>
            <w:tcW w:w="675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 xml:space="preserve">№ </w:t>
            </w:r>
            <w:proofErr w:type="spellStart"/>
            <w:proofErr w:type="gram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  <w:proofErr w:type="gramEnd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/</w:t>
            </w:r>
            <w:proofErr w:type="spell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</w:p>
        </w:tc>
        <w:tc>
          <w:tcPr>
            <w:tcW w:w="2694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Наименование показателя</w:t>
            </w:r>
          </w:p>
        </w:tc>
        <w:tc>
          <w:tcPr>
            <w:tcW w:w="3118" w:type="dxa"/>
            <w:vAlign w:val="center"/>
          </w:tcPr>
          <w:p w:rsidR="005E74A8" w:rsidRPr="005E74A8" w:rsidRDefault="005E74A8" w:rsidP="00AD73B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Целевое значение показателей на 202</w:t>
            </w:r>
            <w:r w:rsidR="00AD73B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3119" w:type="dxa"/>
            <w:vAlign w:val="center"/>
          </w:tcPr>
          <w:p w:rsidR="005E74A8" w:rsidRPr="005E74A8" w:rsidRDefault="00700F94" w:rsidP="00AD73B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Фактическое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значение показателей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за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202</w:t>
            </w:r>
            <w:r w:rsidR="00AD73B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Количество нарушений антимонопольного законодательства со стороны администрации, единиц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принятых нормативных правовых актов администрации, в которых риски нарушения антимонопольного законодательства выявлены антимонопольным органом,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FD48B6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разработанных администрацией проектов нормативных правовых актов, в которых риски нарушения антимонопольного законодательства выявлены правовым управлением</w:t>
            </w:r>
          </w:p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администрации,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Доля муниципальных служащих администрации, участвующих в обучающих мероприятиях по вопросам функционирования антимонопольного комплаенса, а также прошедших самостоятельное 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изучение положений антимонопольного законодательства,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100</w:t>
            </w:r>
          </w:p>
        </w:tc>
        <w:tc>
          <w:tcPr>
            <w:tcW w:w="3119" w:type="dxa"/>
          </w:tcPr>
          <w:p w:rsidR="005E74A8" w:rsidRPr="005E74A8" w:rsidRDefault="00E71D2D" w:rsidP="00E71D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100</w:t>
            </w:r>
          </w:p>
        </w:tc>
      </w:tr>
    </w:tbl>
    <w:p w:rsidR="001E0D90" w:rsidRDefault="001E0D90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E74A8" w:rsidRPr="009D5120" w:rsidRDefault="005E74A8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Таким образом, 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План мероприятий («Дорожная карта») по снижению </w:t>
      </w:r>
      <w:proofErr w:type="spellStart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администрации городского округа Жигулевск на 202</w:t>
      </w:r>
      <w:r w:rsidR="006318E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выполняется, ч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то свидетельствует об эффективности антимонопольного комплаенса в 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Администрации городского округа Жигулевск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достаточности проводимых мероприятий.</w:t>
      </w:r>
    </w:p>
    <w:sectPr w:rsidR="005E74A8" w:rsidRPr="009D5120" w:rsidSect="004B0189">
      <w:pgSz w:w="11900" w:h="16840"/>
      <w:pgMar w:top="567" w:right="709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41B" w:rsidRDefault="0060241B" w:rsidP="00BB6746">
      <w:r>
        <w:separator/>
      </w:r>
    </w:p>
  </w:endnote>
  <w:endnote w:type="continuationSeparator" w:id="0">
    <w:p w:rsidR="0060241B" w:rsidRDefault="0060241B" w:rsidP="00BB6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41B" w:rsidRDefault="0060241B"/>
  </w:footnote>
  <w:footnote w:type="continuationSeparator" w:id="0">
    <w:p w:rsidR="0060241B" w:rsidRDefault="0060241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3189D"/>
    <w:multiLevelType w:val="multilevel"/>
    <w:tmpl w:val="0EA63A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C25A66"/>
    <w:multiLevelType w:val="multilevel"/>
    <w:tmpl w:val="6414C8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9E6C4E"/>
    <w:multiLevelType w:val="multilevel"/>
    <w:tmpl w:val="8DA4676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BB6746"/>
    <w:rsid w:val="00027518"/>
    <w:rsid w:val="00086296"/>
    <w:rsid w:val="00105CAA"/>
    <w:rsid w:val="001214B2"/>
    <w:rsid w:val="00170126"/>
    <w:rsid w:val="001943A3"/>
    <w:rsid w:val="001A1023"/>
    <w:rsid w:val="001C58EE"/>
    <w:rsid w:val="001E0D90"/>
    <w:rsid w:val="00252DB9"/>
    <w:rsid w:val="002645FA"/>
    <w:rsid w:val="00426D84"/>
    <w:rsid w:val="004507D7"/>
    <w:rsid w:val="00450894"/>
    <w:rsid w:val="00477CF4"/>
    <w:rsid w:val="00497B5B"/>
    <w:rsid w:val="004A30D2"/>
    <w:rsid w:val="004B0189"/>
    <w:rsid w:val="004B5559"/>
    <w:rsid w:val="004C6A88"/>
    <w:rsid w:val="005333EF"/>
    <w:rsid w:val="00562CF5"/>
    <w:rsid w:val="005A14EC"/>
    <w:rsid w:val="005E74A8"/>
    <w:rsid w:val="0060241B"/>
    <w:rsid w:val="00623676"/>
    <w:rsid w:val="006318EE"/>
    <w:rsid w:val="00634313"/>
    <w:rsid w:val="006A2DCA"/>
    <w:rsid w:val="006F258C"/>
    <w:rsid w:val="00700F94"/>
    <w:rsid w:val="00727F43"/>
    <w:rsid w:val="00730044"/>
    <w:rsid w:val="007672F9"/>
    <w:rsid w:val="007C1603"/>
    <w:rsid w:val="007F5402"/>
    <w:rsid w:val="00865B82"/>
    <w:rsid w:val="00871993"/>
    <w:rsid w:val="008D2D0E"/>
    <w:rsid w:val="008D3A1B"/>
    <w:rsid w:val="00940A3A"/>
    <w:rsid w:val="00982FAE"/>
    <w:rsid w:val="0098728F"/>
    <w:rsid w:val="009A0291"/>
    <w:rsid w:val="009D5120"/>
    <w:rsid w:val="00A23D16"/>
    <w:rsid w:val="00A7237C"/>
    <w:rsid w:val="00A97AA2"/>
    <w:rsid w:val="00AA7516"/>
    <w:rsid w:val="00AB715D"/>
    <w:rsid w:val="00AD73B0"/>
    <w:rsid w:val="00AE4FA4"/>
    <w:rsid w:val="00B51A43"/>
    <w:rsid w:val="00B613B3"/>
    <w:rsid w:val="00BB3577"/>
    <w:rsid w:val="00BB6746"/>
    <w:rsid w:val="00BC2AE3"/>
    <w:rsid w:val="00BC69FB"/>
    <w:rsid w:val="00BD38D1"/>
    <w:rsid w:val="00C15378"/>
    <w:rsid w:val="00C2680D"/>
    <w:rsid w:val="00CC4628"/>
    <w:rsid w:val="00D60F56"/>
    <w:rsid w:val="00E17947"/>
    <w:rsid w:val="00E346E5"/>
    <w:rsid w:val="00E71D2D"/>
    <w:rsid w:val="00F16DD0"/>
    <w:rsid w:val="00FD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67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B6746"/>
    <w:rPr>
      <w:color w:val="0066CC"/>
      <w:u w:val="single"/>
    </w:rPr>
  </w:style>
  <w:style w:type="character" w:customStyle="1" w:styleId="Bodytext2Exact">
    <w:name w:val="Body text (2) Exact"/>
    <w:basedOn w:val="a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BB67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">
    <w:name w:val="Header or footer_"/>
    <w:basedOn w:val="a0"/>
    <w:link w:val="Headerorfooter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1">
    <w:name w:val="Body text (2)"/>
    <w:basedOn w:val="Bodytext2"/>
    <w:rsid w:val="00BB674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11ptBoldSmallCaps">
    <w:name w:val="Body text (2) + 11 pt;Bold;Small Caps"/>
    <w:basedOn w:val="Bodytext2"/>
    <w:rsid w:val="00BB6746"/>
    <w:rPr>
      <w:b/>
      <w:bCs/>
      <w:smallCap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Bodytext213pt">
    <w:name w:val="Body text (2) + 13 pt"/>
    <w:basedOn w:val="Bodytext2"/>
    <w:rsid w:val="00BB6746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Bodytext22">
    <w:name w:val="Body text (2)"/>
    <w:basedOn w:val="Bodytext2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4pt">
    <w:name w:val="Body text (2) + 4 pt"/>
    <w:basedOn w:val="Bodytext2"/>
    <w:rsid w:val="00BB6746"/>
    <w:rPr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Bodytext23">
    <w:name w:val="Body text (2)"/>
    <w:basedOn w:val="Bodytext2"/>
    <w:rsid w:val="00BB6746"/>
    <w:rPr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Bodytext2Constantia13pt">
    <w:name w:val="Body text (2) + Constantia;13 pt"/>
    <w:basedOn w:val="Bodytext2"/>
    <w:rsid w:val="00BB6746"/>
    <w:rPr>
      <w:rFonts w:ascii="Constantia" w:eastAsia="Constantia" w:hAnsi="Constantia" w:cs="Constantia"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BB6746"/>
    <w:pPr>
      <w:shd w:val="clear" w:color="auto" w:fill="FFFFFF"/>
      <w:spacing w:after="300" w:line="317" w:lineRule="exact"/>
      <w:ind w:hanging="19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BB6746"/>
    <w:pPr>
      <w:shd w:val="clear" w:color="auto" w:fill="FFFFFF"/>
      <w:spacing w:before="1260" w:line="47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erorfooter0">
    <w:name w:val="Header or footer"/>
    <w:basedOn w:val="a"/>
    <w:link w:val="Headerorfooter"/>
    <w:rsid w:val="00BB67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ConsNormal">
    <w:name w:val="ConsNormal"/>
    <w:link w:val="ConsNormal0"/>
    <w:uiPriority w:val="99"/>
    <w:rsid w:val="00634313"/>
    <w:pPr>
      <w:autoSpaceDE w:val="0"/>
      <w:autoSpaceDN w:val="0"/>
      <w:adjustRightInd w:val="0"/>
      <w:ind w:right="19772" w:firstLine="720"/>
    </w:pPr>
    <w:rPr>
      <w:rFonts w:ascii="Arial" w:eastAsia="Times New Roman" w:hAnsi="Arial" w:cs="Times New Roman"/>
      <w:sz w:val="22"/>
      <w:szCs w:val="22"/>
      <w:lang w:bidi="ar-SA"/>
    </w:rPr>
  </w:style>
  <w:style w:type="character" w:customStyle="1" w:styleId="ConsNormal0">
    <w:name w:val="ConsNormal Знак"/>
    <w:link w:val="ConsNormal"/>
    <w:uiPriority w:val="99"/>
    <w:locked/>
    <w:rsid w:val="00634313"/>
    <w:rPr>
      <w:rFonts w:ascii="Arial" w:eastAsia="Times New Roman" w:hAnsi="Arial" w:cs="Times New Roman"/>
      <w:sz w:val="22"/>
      <w:szCs w:val="22"/>
      <w:lang w:bidi="ar-SA"/>
    </w:rPr>
  </w:style>
  <w:style w:type="paragraph" w:styleId="a4">
    <w:name w:val="header"/>
    <w:basedOn w:val="a"/>
    <w:link w:val="a5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C58EE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C58EE"/>
    <w:rPr>
      <w:color w:val="000000"/>
    </w:rPr>
  </w:style>
  <w:style w:type="paragraph" w:customStyle="1" w:styleId="Default">
    <w:name w:val="Default"/>
    <w:rsid w:val="005E74A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ConsPlusTitle">
    <w:name w:val="ConsPlusTitle"/>
    <w:rsid w:val="005E74A8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ConsPlusNormal">
    <w:name w:val="ConsPlusNormal"/>
    <w:rsid w:val="00252DB9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table" w:styleId="a8">
    <w:name w:val="Table Grid"/>
    <w:basedOn w:val="a1"/>
    <w:uiPriority w:val="59"/>
    <w:rsid w:val="007672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54324B91CB99053CCAA7AB73A8FC40A5484018BFB6A1D1068F3CD19FE8C540F97C44A1F52FC13592761F0FCE3E3E68EF294F6ACE96625Cy8y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FCFEA4-8DDF-4AC8-80F4-06C56C7E2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Макаева А.О.</cp:lastModifiedBy>
  <cp:revision>32</cp:revision>
  <dcterms:created xsi:type="dcterms:W3CDTF">2022-03-02T07:04:00Z</dcterms:created>
  <dcterms:modified xsi:type="dcterms:W3CDTF">2024-02-07T04:45:00Z</dcterms:modified>
</cp:coreProperties>
</file>