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513" w:rsidRPr="00FC1513" w:rsidRDefault="00FC1513" w:rsidP="00FC1513">
      <w:pPr>
        <w:spacing w:after="0" w:line="240" w:lineRule="auto"/>
        <w:jc w:val="center"/>
        <w:textAlignment w:val="baseline"/>
        <w:rPr>
          <w:rFonts w:ascii="Arial" w:eastAsia="Times New Roman" w:hAnsi="Arial" w:cs="Arial"/>
          <w:color w:val="242424"/>
          <w:sz w:val="38"/>
          <w:szCs w:val="38"/>
          <w:lang w:eastAsia="ru-RU"/>
        </w:rPr>
      </w:pPr>
      <w:r w:rsidRPr="00FC1513">
        <w:rPr>
          <w:rFonts w:ascii="Arial" w:eastAsia="Times New Roman" w:hAnsi="Arial" w:cs="Arial"/>
          <w:b/>
          <w:bCs/>
          <w:color w:val="242424"/>
          <w:sz w:val="38"/>
          <w:szCs w:val="38"/>
          <w:bdr w:val="none" w:sz="0" w:space="0" w:color="auto" w:frame="1"/>
          <w:lang w:eastAsia="ru-RU"/>
        </w:rPr>
        <w:t>Требования для объектов, оказывающих негативное воздействие</w:t>
      </w:r>
    </w:p>
    <w:p w:rsidR="00FC1513" w:rsidRDefault="00FC1513" w:rsidP="00FC1513">
      <w:pPr>
        <w:spacing w:after="0" w:line="240" w:lineRule="auto"/>
        <w:jc w:val="center"/>
        <w:textAlignment w:val="baseline"/>
        <w:rPr>
          <w:rFonts w:ascii="Arial" w:eastAsia="Times New Roman" w:hAnsi="Arial" w:cs="Arial"/>
          <w:b/>
          <w:bCs/>
          <w:color w:val="242424"/>
          <w:sz w:val="38"/>
          <w:szCs w:val="38"/>
          <w:bdr w:val="none" w:sz="0" w:space="0" w:color="auto" w:frame="1"/>
          <w:lang w:eastAsia="ru-RU"/>
        </w:rPr>
      </w:pPr>
      <w:r w:rsidRPr="00FC1513">
        <w:rPr>
          <w:rFonts w:ascii="Arial" w:eastAsia="Times New Roman" w:hAnsi="Arial" w:cs="Arial"/>
          <w:b/>
          <w:bCs/>
          <w:color w:val="242424"/>
          <w:sz w:val="38"/>
          <w:szCs w:val="38"/>
          <w:bdr w:val="none" w:sz="0" w:space="0" w:color="auto" w:frame="1"/>
          <w:lang w:eastAsia="ru-RU"/>
        </w:rPr>
        <w:t>на окружающую среду (далее НВОС)</w:t>
      </w:r>
    </w:p>
    <w:p w:rsidR="00FC1513" w:rsidRPr="00FC1513" w:rsidRDefault="00FC1513" w:rsidP="00FC1513">
      <w:pPr>
        <w:spacing w:after="0" w:line="240" w:lineRule="auto"/>
        <w:jc w:val="center"/>
        <w:textAlignment w:val="baseline"/>
        <w:rPr>
          <w:rFonts w:ascii="Arial" w:eastAsia="Times New Roman" w:hAnsi="Arial" w:cs="Arial"/>
          <w:color w:val="242424"/>
          <w:sz w:val="38"/>
          <w:szCs w:val="38"/>
          <w:lang w:eastAsia="ru-RU"/>
        </w:rPr>
      </w:pPr>
    </w:p>
    <w:p w:rsidR="00FC1513" w:rsidRPr="00FC1513" w:rsidRDefault="00FC1513" w:rsidP="00FC1513">
      <w:pPr>
        <w:spacing w:after="0" w:line="240" w:lineRule="auto"/>
        <w:jc w:val="center"/>
        <w:textAlignment w:val="baseline"/>
        <w:outlineLvl w:val="0"/>
        <w:rPr>
          <w:rFonts w:ascii="Arial" w:eastAsia="Times New Roman" w:hAnsi="Arial" w:cs="Arial"/>
          <w:b/>
          <w:bCs/>
          <w:color w:val="242424"/>
          <w:kern w:val="36"/>
          <w:sz w:val="30"/>
          <w:szCs w:val="30"/>
          <w:lang w:eastAsia="ru-RU"/>
        </w:rPr>
      </w:pPr>
      <w:r w:rsidRPr="00FC1513">
        <w:rPr>
          <w:rFonts w:ascii="Arial" w:eastAsia="Times New Roman" w:hAnsi="Arial" w:cs="Arial"/>
          <w:b/>
          <w:bCs/>
          <w:color w:val="E21C21"/>
          <w:kern w:val="36"/>
          <w:sz w:val="30"/>
          <w:szCs w:val="30"/>
          <w:bdr w:val="none" w:sz="0" w:space="0" w:color="auto" w:frame="1"/>
          <w:lang w:eastAsia="ru-RU"/>
        </w:rPr>
        <w:t>Объекты I категории </w:t>
      </w:r>
      <w:r w:rsidRPr="00FC1513">
        <w:rPr>
          <w:rFonts w:ascii="Arial" w:eastAsia="Times New Roman" w:hAnsi="Arial" w:cs="Arial"/>
          <w:b/>
          <w:bCs/>
          <w:color w:val="000000"/>
          <w:kern w:val="36"/>
          <w:sz w:val="30"/>
          <w:szCs w:val="30"/>
          <w:bdr w:val="none" w:sz="0" w:space="0" w:color="auto" w:frame="1"/>
          <w:lang w:eastAsia="ru-RU"/>
        </w:rPr>
        <w:t>- объекты, оказывающие значительное НВОС и относящиеся</w:t>
      </w:r>
    </w:p>
    <w:p w:rsidR="00FC1513" w:rsidRDefault="00FC1513" w:rsidP="00FC1513">
      <w:pPr>
        <w:spacing w:after="0" w:line="240" w:lineRule="auto"/>
        <w:jc w:val="center"/>
        <w:textAlignment w:val="baseline"/>
        <w:outlineLvl w:val="0"/>
        <w:rPr>
          <w:rFonts w:ascii="Arial" w:eastAsia="Times New Roman" w:hAnsi="Arial" w:cs="Arial"/>
          <w:b/>
          <w:bCs/>
          <w:color w:val="000000"/>
          <w:kern w:val="36"/>
          <w:sz w:val="30"/>
          <w:szCs w:val="30"/>
          <w:bdr w:val="none" w:sz="0" w:space="0" w:color="auto" w:frame="1"/>
          <w:lang w:eastAsia="ru-RU"/>
        </w:rPr>
      </w:pPr>
      <w:r w:rsidRPr="00FC1513">
        <w:rPr>
          <w:rFonts w:ascii="Arial" w:eastAsia="Times New Roman" w:hAnsi="Arial" w:cs="Arial"/>
          <w:b/>
          <w:bCs/>
          <w:color w:val="000000"/>
          <w:kern w:val="36"/>
          <w:sz w:val="30"/>
          <w:szCs w:val="30"/>
          <w:bdr w:val="none" w:sz="0" w:space="0" w:color="auto" w:frame="1"/>
          <w:lang w:eastAsia="ru-RU"/>
        </w:rPr>
        <w:t>к областям применения наилучших доступных технологий</w:t>
      </w:r>
    </w:p>
    <w:p w:rsidR="00525268" w:rsidRPr="00FC1513" w:rsidRDefault="00525268" w:rsidP="00FC1513">
      <w:pPr>
        <w:spacing w:after="0" w:line="240" w:lineRule="auto"/>
        <w:jc w:val="center"/>
        <w:textAlignment w:val="baseline"/>
        <w:outlineLvl w:val="0"/>
        <w:rPr>
          <w:rFonts w:ascii="Arial" w:eastAsia="Times New Roman" w:hAnsi="Arial" w:cs="Arial"/>
          <w:b/>
          <w:bCs/>
          <w:color w:val="242424"/>
          <w:kern w:val="36"/>
          <w:sz w:val="30"/>
          <w:szCs w:val="30"/>
          <w:lang w:eastAsia="ru-RU"/>
        </w:rPr>
      </w:pPr>
    </w:p>
    <w:tbl>
      <w:tblPr>
        <w:tblW w:w="13845" w:type="dxa"/>
        <w:tblCellSpacing w:w="15" w:type="dxa"/>
        <w:tblBorders>
          <w:top w:val="single" w:sz="12" w:space="0" w:color="0088CB"/>
          <w:bottom w:val="single" w:sz="12" w:space="0" w:color="0088CB"/>
        </w:tblBorders>
        <w:tblCellMar>
          <w:top w:w="15" w:type="dxa"/>
          <w:left w:w="15" w:type="dxa"/>
          <w:bottom w:w="15" w:type="dxa"/>
          <w:right w:w="15" w:type="dxa"/>
        </w:tblCellMar>
        <w:tblLook w:val="04A0" w:firstRow="1" w:lastRow="0" w:firstColumn="1" w:lastColumn="0" w:noHBand="0" w:noVBand="1"/>
      </w:tblPr>
      <w:tblGrid>
        <w:gridCol w:w="4977"/>
        <w:gridCol w:w="8868"/>
      </w:tblGrid>
      <w:tr w:rsidR="00F66D79" w:rsidRPr="00F66D79" w:rsidTr="00F66D79">
        <w:trPr>
          <w:tblHeader/>
          <w:tblCellSpacing w:w="15" w:type="dxa"/>
        </w:trPr>
        <w:tc>
          <w:tcPr>
            <w:tcW w:w="0" w:type="auto"/>
            <w:tcBorders>
              <w:top w:val="nil"/>
              <w:left w:val="nil"/>
              <w:bottom w:val="single" w:sz="2" w:space="0" w:color="0088CB"/>
              <w:right w:val="nil"/>
            </w:tcBorders>
            <w:shd w:val="clear" w:color="auto" w:fill="D1D1D1"/>
            <w:tcMar>
              <w:top w:w="90" w:type="dxa"/>
              <w:left w:w="90" w:type="dxa"/>
              <w:bottom w:w="90" w:type="dxa"/>
              <w:right w:w="90" w:type="dxa"/>
            </w:tcMar>
            <w:hideMark/>
          </w:tcPr>
          <w:p w:rsidR="00F66D79" w:rsidRPr="00F66D79" w:rsidRDefault="00F66D79" w:rsidP="00F66D79">
            <w:pPr>
              <w:spacing w:after="0" w:line="240" w:lineRule="auto"/>
              <w:rPr>
                <w:rFonts w:ascii="Arial" w:eastAsia="Times New Roman" w:hAnsi="Arial" w:cs="Arial"/>
                <w:b/>
                <w:bCs/>
                <w:color w:val="242424"/>
                <w:sz w:val="26"/>
                <w:szCs w:val="26"/>
                <w:lang w:eastAsia="ru-RU"/>
              </w:rPr>
            </w:pPr>
            <w:r w:rsidRPr="00F66D79">
              <w:rPr>
                <w:rFonts w:ascii="Arial" w:eastAsia="Times New Roman" w:hAnsi="Arial" w:cs="Arial"/>
                <w:b/>
                <w:bCs/>
                <w:color w:val="242424"/>
                <w:sz w:val="26"/>
                <w:szCs w:val="26"/>
                <w:lang w:eastAsia="ru-RU"/>
              </w:rPr>
              <w:t>Нормативно-правовой акт</w:t>
            </w:r>
          </w:p>
        </w:tc>
        <w:tc>
          <w:tcPr>
            <w:tcW w:w="0" w:type="auto"/>
            <w:tcBorders>
              <w:top w:val="nil"/>
              <w:left w:val="single" w:sz="12" w:space="0" w:color="0088CB"/>
              <w:bottom w:val="single" w:sz="2" w:space="0" w:color="0088CB"/>
              <w:right w:val="nil"/>
            </w:tcBorders>
            <w:shd w:val="clear" w:color="auto" w:fill="D1D1D1"/>
            <w:tcMar>
              <w:top w:w="90" w:type="dxa"/>
              <w:left w:w="90" w:type="dxa"/>
              <w:bottom w:w="90" w:type="dxa"/>
              <w:right w:w="90" w:type="dxa"/>
            </w:tcMar>
            <w:hideMark/>
          </w:tcPr>
          <w:p w:rsidR="00F66D79" w:rsidRPr="00F66D79" w:rsidRDefault="00F66D79" w:rsidP="00F66D79">
            <w:pPr>
              <w:spacing w:after="0" w:line="240" w:lineRule="auto"/>
              <w:rPr>
                <w:rFonts w:ascii="Arial" w:eastAsia="Times New Roman" w:hAnsi="Arial" w:cs="Arial"/>
                <w:b/>
                <w:bCs/>
                <w:color w:val="242424"/>
                <w:sz w:val="26"/>
                <w:szCs w:val="26"/>
                <w:lang w:eastAsia="ru-RU"/>
              </w:rPr>
            </w:pPr>
            <w:r w:rsidRPr="00F66D79">
              <w:rPr>
                <w:rFonts w:ascii="Arial" w:eastAsia="Times New Roman" w:hAnsi="Arial" w:cs="Arial"/>
                <w:b/>
                <w:bCs/>
                <w:color w:val="242424"/>
                <w:sz w:val="26"/>
                <w:szCs w:val="26"/>
                <w:lang w:eastAsia="ru-RU"/>
              </w:rPr>
              <w:t>Требование</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ст.14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ИП и юридическ</w:t>
            </w:r>
            <w:r>
              <w:rPr>
                <w:rFonts w:ascii="Arial" w:eastAsia="Times New Roman" w:hAnsi="Arial" w:cs="Arial"/>
                <w:color w:val="000000"/>
                <w:sz w:val="23"/>
                <w:szCs w:val="23"/>
                <w:lang w:eastAsia="ru-RU"/>
              </w:rPr>
              <w:t>и</w:t>
            </w:r>
            <w:r w:rsidRPr="00F66D79">
              <w:rPr>
                <w:rFonts w:ascii="Arial" w:eastAsia="Times New Roman" w:hAnsi="Arial" w:cs="Arial"/>
                <w:color w:val="000000"/>
                <w:sz w:val="23"/>
                <w:szCs w:val="23"/>
                <w:lang w:eastAsia="ru-RU"/>
              </w:rPr>
              <w:t>е лица, в процессе деятельности которых образуются отходы I - IV классов опасности, обязаны осуществить отнесение соответствующих отходов к конкретному классу опасности и составить паспорт отходов. Порядок паспортизации и типовые формы паспортов утверждены постановлением Правительства РФ от 16.08.2013 №712</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ст.19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ИП и юридические лица, осуществляющие деятельность в области обращения с отходами, обязаны вести в установленном порядке учет образовавшихся, утилизированных, обезвреженных, переданных другим лицам или полученных от других лиц, а также размещенных отходов. Порядок учета в области обращения с отходами установлен приказом Минприроды РФ от 01.09.2011 №721.</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ст.19 №89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ИП и юридические лица, осуществляющие деятельность в области обращения с отходами (сбор, накопление, транспортирование, обработку, утилизацию, обезвреживание, размещение), обязаны ежегодно предоставлять отчетность по форме 2-ТП (отходы), утвержденной приказом Росстата от 10.08.2017 №529</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ст.31.1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 xml:space="preserve">С 01.01.2019г. юридические лица и ИП, осуществляющие деятельность на объектах I категории, обязаны получить комплексное экологическое разрешение. Комплексное экологическое разрешение выдается на отдельный объект, оказывающий НВОС, в том числе линейный объект, на основании заявки, подаваемой в уполномоченный Правительством РФ федеральный орган исполнительной власти. Приказ Минприроды РФ от 11.10.2018 №510 </w:t>
            </w:r>
            <w:r w:rsidRPr="00F66D79">
              <w:rPr>
                <w:rFonts w:ascii="Arial" w:eastAsia="Times New Roman" w:hAnsi="Arial" w:cs="Arial"/>
                <w:color w:val="000000"/>
                <w:sz w:val="23"/>
                <w:szCs w:val="23"/>
                <w:lang w:eastAsia="ru-RU"/>
              </w:rPr>
              <w:lastRenderedPageBreak/>
              <w:t>"Об утверждении формы заявки на получение КЭР и формы КЭР" (зарегистрирован в Минюсте России 10.12.2018 №52927)</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lastRenderedPageBreak/>
              <w:t>п.1 ст.23 №7-ФЗ «Об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 01.01.2019г. юридическими лицами и ИП, осуществляющими деятельность на объектах I категории разрабатываются технологические нормативы (нормативы выбросов, сбросов загрязняющих веществ, нормативы допустимых физических воздействий) - в составе КЭР.</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ст.67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Юридические лица и ИП, осуществляющие деятельность на объектах I, II и III категорий, разрабатывают, утверждают и осуществляют программу производственного экологического контроля. - проект программы ПЭК входит в состав КЭР. Юридические лица и ИП обязаны ежегодно представлять отчет об организации и о результатах осуществления производственного экологического контроля.</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п. 9.2.2 Приказа МПР от 28.02.2018 №74 «Об утверждении требований к содержанию программы ПЭК»</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Периодичность отбора и анализа проб сточных вод, поверхностных вод в фоновом и контрольном створах водного объекта, для объектов I и II категории устанавливается не менее одного раза в месяц осуществления сброса сточных вод, по показателю токсичность - не менее одного раза в квартал</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ст.18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 01.01.2019г. нормативы образования отходов и лимиты на их размещение разрабатываются юридическими лицами или ИП, осуществляющими деятельность на объектах I и II категорий. Для юридических лиц или ИП, осуществляющих деятельность на объектах I категории, нормативы образования отходов и лимиты на их размещение устанавливаются на основании КЭР.</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п.2 ст.22 №7-ФЗ «Об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 01.01.2019г. расчет нормативов допустимых выбросов, нормативов допустимых сбросов производится юридическими лицами и ИП, планирующими строительство объектов I и II категорий (при проведении оценки воздействия на окружающую среду).</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lastRenderedPageBreak/>
              <w:t>ст.15 №96-ФЗ «Об охране атмосферного воздуха»</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 01.01.2019г. выбросы вредных (загрязняющих) веществ в атмосферный воздух на объектах I категории, осуществляются на основании комплексного экологического разрешения</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ст.67.1 №7-ФЗ «Об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 01.01.2019г. в случае невозможности соблюдения нормативов допустимых выбросов, нормативов допустимых сбросов, технологических нормативов юридическими лицами или ИП, осуществляющими деятельность на объектах I категории, на период поэтапного достижения нормативов допустимых выбросов, нормативов допустимых сбросов, технологических нормативов в обязательном порядке разрабатывается и утверждается программа повышения экологической эффективности. Проект программы повышения экологической эффективности до ее утверждения юридическим лицом или ИП подлежит одобрению межведомственной комиссией, которая создается уполномоченным Правительством РФ федеральным органом исполнительной власти и в состав которой включаются представители заинтересованных федеральных органов исполнительной власти, Государственной корпорации по атомной энергии "</w:t>
            </w:r>
            <w:proofErr w:type="spellStart"/>
            <w:r w:rsidRPr="00F66D79">
              <w:rPr>
                <w:rFonts w:ascii="Arial" w:eastAsia="Times New Roman" w:hAnsi="Arial" w:cs="Arial"/>
                <w:color w:val="000000"/>
                <w:sz w:val="23"/>
                <w:szCs w:val="23"/>
                <w:lang w:eastAsia="ru-RU"/>
              </w:rPr>
              <w:t>Росатом</w:t>
            </w:r>
            <w:proofErr w:type="spellEnd"/>
            <w:r w:rsidRPr="00F66D79">
              <w:rPr>
                <w:rFonts w:ascii="Arial" w:eastAsia="Times New Roman" w:hAnsi="Arial" w:cs="Arial"/>
                <w:color w:val="000000"/>
                <w:sz w:val="23"/>
                <w:szCs w:val="23"/>
                <w:lang w:eastAsia="ru-RU"/>
              </w:rPr>
              <w:t>", органов исполнительной власти субъектов РФ (постановление Правительства РФ от 21.09.2015 №999)</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п.9. ст.67 №7-ФЗ «Об охране окружающей среды», п.4 ст.25 №96-ФЗ «Об охране атмосферного воздуха»</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 01.01.2019г. на объектах I категории стационарные источники, перечень которых устанавливается Правительством РФ, должны быть оснащены автоматическими средствами измерения и учета объема или массы выбросов загрязняющих веществ, сбросов загрязняющих веществ и концентрации загрязняющих веществ, а также техническими средствами фиксации и передачи информации об объеме и (или) о массе выбросов загрязняющих веществ, сбросов загрязняющих веществ и о концентрации загрязняющих веществ в государственный фонд данных государственного экологического мониторинга (государственного мониторинга окружающей среды). Требования определяются в соответствии с законодательством РФ об обеспечении единства измерений</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п.7.5, 7.6 ст.11 №174-ФЗ «Об экологической экспертизе»</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 xml:space="preserve">С 01.01.2019г. объектами государственной экологической экспертизы федерального уровня является: · проектная документация объектов </w:t>
            </w:r>
            <w:r w:rsidRPr="00F66D79">
              <w:rPr>
                <w:rFonts w:ascii="Arial" w:eastAsia="Times New Roman" w:hAnsi="Arial" w:cs="Arial"/>
                <w:color w:val="000000"/>
                <w:sz w:val="23"/>
                <w:szCs w:val="23"/>
                <w:lang w:eastAsia="ru-RU"/>
              </w:rPr>
              <w:lastRenderedPageBreak/>
              <w:t>капитального строительства, относящихся в соответствии с законодательством в области охраны окружающей среды к объектам I категории, за исключением случаев, если такая проектная документация входит в состав материалов обоснования лицензий на осуществление отдельных видов деятельности, оказывающих НВОС, в соответствии с законодательством РФ в области использования атомной энергии. · материалы обоснования комплексного экологического разрешения, разрабатываемые в соответствии с законодательством в области охраны окружающей среды, в случае, если указанные материалы не содержат информацию о наличии положительного заключения государственной экологической экспертизы, проведенной в отношении объектов I категории</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lastRenderedPageBreak/>
              <w:t>ст.16.1 №7-ФЗ«Об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Плату за негативное воздействие на окружающую среду обязаны вносить юридические лица и ИП, осуществляющие деятельность, оказывающую НВОС, за исключением юридических лиц и ИП, осуществляющих деятельность исключительно на объектах IV категории</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п.5 ст.16.3 №7-ФЗ«Об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 01.01.2020г. в целях стимулирования юридических лиц и ИП, осуществляющих деятельность, к проведению мероприятий по снижению негативного воздействия на окружающую среду и внедрению наилучших доступных технологий при исчислении платы за негативное воздействие на окружающую среду к ставкам такой платы применяются следующие коэффициенты: коэффициент 100- за объем или массу выбросов загрязняющих веществ, сбросов загрязняющих веществ, превышающих установленные для объектов I категории такие объем или массу, а также превышающих указанные в декларации о воздействии на окружающую среду для объектов II категории такие объем или массу</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ст. 11 №219-ФЗ «О внесении изменений в Федеральный закон «Об охране окружающей среды» и отдельные законодательные акты РФ»</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 xml:space="preserve">· 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нормативы образования отходов и лимиты на их размещение, полученные юридическими лицами и ИП, осуществляющими деятельность на </w:t>
            </w:r>
            <w:r w:rsidRPr="00F66D79">
              <w:rPr>
                <w:rFonts w:ascii="Arial" w:eastAsia="Times New Roman" w:hAnsi="Arial" w:cs="Arial"/>
                <w:color w:val="000000"/>
                <w:sz w:val="23"/>
                <w:szCs w:val="23"/>
                <w:lang w:eastAsia="ru-RU"/>
              </w:rPr>
              <w:lastRenderedPageBreak/>
              <w:t xml:space="preserve">объектах, оказывающих негативное воздействие на окружающую среду и относящихся к областям применения наилучших доступных технологий, до 1 января 2019 года, действуют до дня получения комплексного экологического разрешения. · До дня получения комплексного экологического разрешения при установлении временно разрешенных выбросов, временно разрешенных сбросов для действующих объектов, оказывающих НВОС и относящихся к областям применения наилучших доступных технологий, достижение нормативов допустимых выбросов, нормативов допустимых сбросов в результате реализации мероприятий, включенных в планы мероприятий по охране окружающей среды, не требуется. · С 01.01.2019г. проектирование, строительство и реконструкция объектов, оказывающих НВОС и относящихся к областям применения наилучших доступных технологий, должны осуществляться с учетом технологических показателей наилучших доступных технологий при обеспечении приемлемого риска для здоровья населения. Данные требования не применяются до дня опубликования соответствующих информационно-технических справочников по наилучшим доступным технологиям. · </w:t>
            </w:r>
            <w:proofErr w:type="gramStart"/>
            <w:r w:rsidRPr="00F66D79">
              <w:rPr>
                <w:rFonts w:ascii="Arial" w:eastAsia="Times New Roman" w:hAnsi="Arial" w:cs="Arial"/>
                <w:color w:val="000000"/>
                <w:sz w:val="23"/>
                <w:szCs w:val="23"/>
                <w:lang w:eastAsia="ru-RU"/>
              </w:rPr>
              <w:t>С</w:t>
            </w:r>
            <w:proofErr w:type="gramEnd"/>
            <w:r w:rsidRPr="00F66D79">
              <w:rPr>
                <w:rFonts w:ascii="Arial" w:eastAsia="Times New Roman" w:hAnsi="Arial" w:cs="Arial"/>
                <w:color w:val="000000"/>
                <w:sz w:val="23"/>
                <w:szCs w:val="23"/>
                <w:lang w:eastAsia="ru-RU"/>
              </w:rPr>
              <w:t xml:space="preserve"> 01.01.2020 г не допускается выдача разрешения на ввод объекта капитального строительства, который является объектом, оказывающим негативное воздействие на окружающую среду, и относится к областям применения наилучших доступных технологий, в эксплуатацию в случае, если на указанном объекте применяются технологические процессы с технологическими показателями, превышающими технологические показатели наилучших доступных технологий. Если разрешение на строительство объектов, оказывающих НВОС и отнесенных к областям применения наилучших доступных технологий, выданы до 1 января 2019 года, данное требование не применяется. · Юридические лица и ИП, осуществляющие деятельность на объектах I категории, включенных в утвержденный перечень объектов (приказ Минприроды России от 18.04.2018 №154), обязаны обратиться с заявкой на получение комплексного экологического разрешения в период с 1 января 2019 года по 31 декабря 2022 года включительно. В указанный перечень включены триста объектов, оказывающих НВОС, вклад которых в суммарные выбросы, сбросы загрязняющих веществ в РФ составляет не менее чем 60%. · Юридические лица и ИП, осуществляющие </w:t>
            </w:r>
            <w:r w:rsidRPr="00F66D79">
              <w:rPr>
                <w:rFonts w:ascii="Arial" w:eastAsia="Times New Roman" w:hAnsi="Arial" w:cs="Arial"/>
                <w:color w:val="000000"/>
                <w:sz w:val="23"/>
                <w:szCs w:val="23"/>
                <w:lang w:eastAsia="ru-RU"/>
              </w:rPr>
              <w:lastRenderedPageBreak/>
              <w:t>деятельность на объектах, относящихся к области применения наилучших доступных технологий и не включенных в указанный перечень, до 1 января 2025 года обязаны получить комплексное экологическое разрешение.</w:t>
            </w:r>
          </w:p>
        </w:tc>
      </w:tr>
      <w:tr w:rsidR="00F66D79" w:rsidRPr="00F66D79" w:rsidTr="00F66D79">
        <w:trPr>
          <w:tblCellSpacing w:w="15" w:type="dxa"/>
        </w:trPr>
        <w:tc>
          <w:tcPr>
            <w:tcW w:w="0" w:type="auto"/>
            <w:tcBorders>
              <w:top w:val="single" w:sz="12" w:space="0" w:color="0088CB"/>
              <w:left w:val="nil"/>
              <w:bottom w:val="nil"/>
              <w:right w:val="nil"/>
            </w:tcBorders>
            <w:shd w:val="clear" w:color="auto" w:fill="FFFFFF"/>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lastRenderedPageBreak/>
              <w:t>п.7 ст.22 №7-ФЗ«Об охране окружающей среды»</w:t>
            </w:r>
          </w:p>
        </w:tc>
        <w:tc>
          <w:tcPr>
            <w:tcW w:w="0" w:type="auto"/>
            <w:tcBorders>
              <w:top w:val="single" w:sz="12" w:space="0" w:color="0088CB"/>
              <w:left w:val="single" w:sz="12" w:space="0" w:color="0088CB"/>
              <w:bottom w:val="nil"/>
              <w:right w:val="nil"/>
            </w:tcBorders>
            <w:shd w:val="clear" w:color="auto" w:fill="FFFFFF"/>
            <w:tcMar>
              <w:top w:w="105" w:type="dxa"/>
              <w:left w:w="105" w:type="dxa"/>
              <w:bottom w:w="105" w:type="dxa"/>
              <w:right w:w="105" w:type="dxa"/>
            </w:tcMar>
            <w:hideMark/>
          </w:tcPr>
          <w:p w:rsidR="00F66D79" w:rsidRPr="00F66D79" w:rsidRDefault="00F66D79" w:rsidP="00F66D79">
            <w:pPr>
              <w:spacing w:after="0" w:line="240" w:lineRule="auto"/>
              <w:rPr>
                <w:rFonts w:ascii="Arial" w:eastAsia="Times New Roman" w:hAnsi="Arial" w:cs="Arial"/>
                <w:color w:val="000000"/>
                <w:sz w:val="23"/>
                <w:szCs w:val="23"/>
                <w:lang w:eastAsia="ru-RU"/>
              </w:rPr>
            </w:pPr>
            <w:r w:rsidRPr="00F66D79">
              <w:rPr>
                <w:rFonts w:ascii="Arial" w:eastAsia="Times New Roman" w:hAnsi="Arial" w:cs="Arial"/>
                <w:color w:val="000000"/>
                <w:sz w:val="23"/>
                <w:szCs w:val="23"/>
                <w:lang w:eastAsia="ru-RU"/>
              </w:rPr>
              <w:t>Нормативы допустимых выбросов, нормативы допустимых сбросов радиоактивных веществ устанавливаются для стационарных источников разрешениями на выбросы радиоактивных веществ, разрешениями на сбросы радиоактивных веществ, выдаваемыми уполномоченными Правительством РФ федеральным органом исполнительной власти (постановление Правительства РФ от 26.06.2018 №731)</w:t>
            </w:r>
          </w:p>
        </w:tc>
      </w:tr>
    </w:tbl>
    <w:p w:rsidR="00F66D79" w:rsidRDefault="00F66D79"/>
    <w:p w:rsidR="00525268" w:rsidRDefault="00525268"/>
    <w:p w:rsidR="00145B84" w:rsidRPr="00145B84" w:rsidRDefault="00145B84" w:rsidP="00145B84">
      <w:pPr>
        <w:spacing w:after="0" w:line="240" w:lineRule="auto"/>
        <w:jc w:val="center"/>
        <w:textAlignment w:val="baseline"/>
        <w:outlineLvl w:val="0"/>
        <w:rPr>
          <w:rFonts w:ascii="Arial" w:eastAsia="Times New Roman" w:hAnsi="Arial" w:cs="Arial"/>
          <w:b/>
          <w:bCs/>
          <w:color w:val="242424"/>
          <w:kern w:val="36"/>
          <w:sz w:val="30"/>
          <w:szCs w:val="30"/>
          <w:lang w:eastAsia="ru-RU"/>
        </w:rPr>
      </w:pPr>
      <w:r w:rsidRPr="00145B84">
        <w:rPr>
          <w:rFonts w:ascii="Arial" w:eastAsia="Times New Roman" w:hAnsi="Arial" w:cs="Arial"/>
          <w:b/>
          <w:bCs/>
          <w:color w:val="E21C21"/>
          <w:kern w:val="36"/>
          <w:sz w:val="30"/>
          <w:szCs w:val="30"/>
          <w:bdr w:val="none" w:sz="0" w:space="0" w:color="auto" w:frame="1"/>
          <w:lang w:eastAsia="ru-RU"/>
        </w:rPr>
        <w:t>Объекты II категории</w:t>
      </w:r>
      <w:r w:rsidRPr="00145B84">
        <w:rPr>
          <w:rFonts w:ascii="Arial" w:eastAsia="Times New Roman" w:hAnsi="Arial" w:cs="Arial"/>
          <w:b/>
          <w:bCs/>
          <w:color w:val="000000"/>
          <w:kern w:val="36"/>
          <w:sz w:val="30"/>
          <w:szCs w:val="30"/>
          <w:bdr w:val="none" w:sz="0" w:space="0" w:color="auto" w:frame="1"/>
          <w:lang w:eastAsia="ru-RU"/>
        </w:rPr>
        <w:t> - объекты, оказывающие умеренное НВОС</w:t>
      </w:r>
    </w:p>
    <w:p w:rsidR="00525268" w:rsidRPr="00525268" w:rsidRDefault="00525268" w:rsidP="00525268">
      <w:pPr>
        <w:spacing w:after="0" w:line="240" w:lineRule="auto"/>
        <w:jc w:val="center"/>
        <w:textAlignment w:val="baseline"/>
        <w:outlineLvl w:val="1"/>
        <w:rPr>
          <w:rFonts w:ascii="Arial" w:eastAsia="Times New Roman" w:hAnsi="Arial" w:cs="Arial"/>
          <w:b/>
          <w:bCs/>
          <w:color w:val="242424"/>
          <w:sz w:val="30"/>
          <w:szCs w:val="30"/>
          <w:lang w:eastAsia="ru-RU"/>
        </w:rPr>
      </w:pPr>
    </w:p>
    <w:tbl>
      <w:tblPr>
        <w:tblW w:w="13995" w:type="dxa"/>
        <w:tblCellSpacing w:w="15" w:type="dxa"/>
        <w:tblBorders>
          <w:top w:val="single" w:sz="12" w:space="0" w:color="0088CB"/>
          <w:bottom w:val="single" w:sz="12" w:space="0" w:color="0088CB"/>
        </w:tblBorders>
        <w:tblCellMar>
          <w:top w:w="15" w:type="dxa"/>
          <w:left w:w="15" w:type="dxa"/>
          <w:bottom w:w="15" w:type="dxa"/>
          <w:right w:w="15" w:type="dxa"/>
        </w:tblCellMar>
        <w:tblLook w:val="04A0" w:firstRow="1" w:lastRow="0" w:firstColumn="1" w:lastColumn="0" w:noHBand="0" w:noVBand="1"/>
      </w:tblPr>
      <w:tblGrid>
        <w:gridCol w:w="4264"/>
        <w:gridCol w:w="9731"/>
      </w:tblGrid>
      <w:tr w:rsidR="00525268" w:rsidRPr="00525268" w:rsidTr="00525268">
        <w:trPr>
          <w:tblHeader/>
          <w:tblCellSpacing w:w="15" w:type="dxa"/>
        </w:trPr>
        <w:tc>
          <w:tcPr>
            <w:tcW w:w="0" w:type="auto"/>
            <w:tcBorders>
              <w:top w:val="nil"/>
              <w:left w:val="nil"/>
              <w:bottom w:val="single" w:sz="2" w:space="0" w:color="0088CB"/>
              <w:right w:val="nil"/>
            </w:tcBorders>
            <w:shd w:val="clear" w:color="auto" w:fill="D1D1D1"/>
            <w:tcMar>
              <w:top w:w="90" w:type="dxa"/>
              <w:left w:w="90" w:type="dxa"/>
              <w:bottom w:w="90" w:type="dxa"/>
              <w:right w:w="90" w:type="dxa"/>
            </w:tcMar>
            <w:hideMark/>
          </w:tcPr>
          <w:p w:rsidR="00525268" w:rsidRPr="00525268" w:rsidRDefault="00525268" w:rsidP="00525268">
            <w:pPr>
              <w:spacing w:after="0" w:line="240" w:lineRule="auto"/>
              <w:rPr>
                <w:rFonts w:ascii="Arial" w:eastAsia="Times New Roman" w:hAnsi="Arial" w:cs="Arial"/>
                <w:b/>
                <w:bCs/>
                <w:color w:val="242424"/>
                <w:sz w:val="26"/>
                <w:szCs w:val="26"/>
                <w:lang w:eastAsia="ru-RU"/>
              </w:rPr>
            </w:pPr>
            <w:r w:rsidRPr="00525268">
              <w:rPr>
                <w:rFonts w:ascii="Arial" w:eastAsia="Times New Roman" w:hAnsi="Arial" w:cs="Arial"/>
                <w:b/>
                <w:bCs/>
                <w:color w:val="242424"/>
                <w:sz w:val="26"/>
                <w:szCs w:val="26"/>
                <w:lang w:eastAsia="ru-RU"/>
              </w:rPr>
              <w:t>Нормативно-правовой акт</w:t>
            </w:r>
          </w:p>
        </w:tc>
        <w:tc>
          <w:tcPr>
            <w:tcW w:w="0" w:type="auto"/>
            <w:tcBorders>
              <w:top w:val="nil"/>
              <w:left w:val="single" w:sz="12" w:space="0" w:color="0088CB"/>
              <w:bottom w:val="single" w:sz="2" w:space="0" w:color="0088CB"/>
              <w:right w:val="nil"/>
            </w:tcBorders>
            <w:shd w:val="clear" w:color="auto" w:fill="D1D1D1"/>
            <w:tcMar>
              <w:top w:w="90" w:type="dxa"/>
              <w:left w:w="90" w:type="dxa"/>
              <w:bottom w:w="90" w:type="dxa"/>
              <w:right w:w="90" w:type="dxa"/>
            </w:tcMar>
            <w:hideMark/>
          </w:tcPr>
          <w:p w:rsidR="00525268" w:rsidRPr="00525268" w:rsidRDefault="00525268" w:rsidP="00525268">
            <w:pPr>
              <w:spacing w:after="0" w:line="240" w:lineRule="auto"/>
              <w:rPr>
                <w:rFonts w:ascii="Arial" w:eastAsia="Times New Roman" w:hAnsi="Arial" w:cs="Arial"/>
                <w:b/>
                <w:bCs/>
                <w:color w:val="242424"/>
                <w:sz w:val="26"/>
                <w:szCs w:val="26"/>
                <w:lang w:eastAsia="ru-RU"/>
              </w:rPr>
            </w:pPr>
            <w:r w:rsidRPr="00525268">
              <w:rPr>
                <w:rFonts w:ascii="Arial" w:eastAsia="Times New Roman" w:hAnsi="Arial" w:cs="Arial"/>
                <w:b/>
                <w:bCs/>
                <w:color w:val="242424"/>
                <w:sz w:val="26"/>
                <w:szCs w:val="26"/>
                <w:lang w:eastAsia="ru-RU"/>
              </w:rPr>
              <w:t>Требование</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ст.14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 xml:space="preserve">ИП и </w:t>
            </w:r>
            <w:proofErr w:type="spellStart"/>
            <w:r w:rsidRPr="00525268">
              <w:rPr>
                <w:rFonts w:ascii="Arial" w:eastAsia="Times New Roman" w:hAnsi="Arial" w:cs="Arial"/>
                <w:color w:val="000000"/>
                <w:sz w:val="23"/>
                <w:szCs w:val="23"/>
                <w:lang w:eastAsia="ru-RU"/>
              </w:rPr>
              <w:t>юридическе</w:t>
            </w:r>
            <w:proofErr w:type="spellEnd"/>
            <w:r w:rsidRPr="00525268">
              <w:rPr>
                <w:rFonts w:ascii="Arial" w:eastAsia="Times New Roman" w:hAnsi="Arial" w:cs="Arial"/>
                <w:color w:val="000000"/>
                <w:sz w:val="23"/>
                <w:szCs w:val="23"/>
                <w:lang w:eastAsia="ru-RU"/>
              </w:rPr>
              <w:t xml:space="preserve"> лица, в процессе деятельности которых образуются отходы I - IV классов опасности, обязаны осуществить отнесение соответствующих отходов к конкретному классу опасности и составить паспорт отходов. Порядок паспортизации и типовые формы паспортов утверждены постановлением Правительства от 16.08.2013 №712</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ст.19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 xml:space="preserve">ИП и юридические лица, осуществляющие деятельность в области обращения с отходами, обязаны вести в установленном порядке учет образовавшихся, утилизированных, обезвреженных, переданных другим лицам или полученных от других лиц, а также размещенных отходов. Порядок учета в области обращения с отходами </w:t>
            </w:r>
            <w:proofErr w:type="spellStart"/>
            <w:r w:rsidRPr="00525268">
              <w:rPr>
                <w:rFonts w:ascii="Arial" w:eastAsia="Times New Roman" w:hAnsi="Arial" w:cs="Arial"/>
                <w:color w:val="000000"/>
                <w:sz w:val="23"/>
                <w:szCs w:val="23"/>
                <w:lang w:eastAsia="ru-RU"/>
              </w:rPr>
              <w:t>устанавлен</w:t>
            </w:r>
            <w:proofErr w:type="spellEnd"/>
            <w:r w:rsidRPr="00525268">
              <w:rPr>
                <w:rFonts w:ascii="Arial" w:eastAsia="Times New Roman" w:hAnsi="Arial" w:cs="Arial"/>
                <w:color w:val="000000"/>
                <w:sz w:val="23"/>
                <w:szCs w:val="23"/>
                <w:lang w:eastAsia="ru-RU"/>
              </w:rPr>
              <w:t xml:space="preserve"> приказом Минприроды от 01.09.2011 №721.</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lastRenderedPageBreak/>
              <w:t>ст.19 №89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ИП и юридические лица, осуществляющие деятельность в области обращения с отходами (сбор, накопление, транспортирование, обработку, утилизацию, обезвреживание, размещение), обязаны ежегодно предоставлять отчетность по форме 2-ТП (отходы), утвержденной приказом Росстата от 10.08.2017 №529</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п.12 ст.31.1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 01.01.2019г. юридические лица и ИП, осуществляющие деятельность на объектах II категории, при наличии соответствующих отраслевых информационно-технических справочников по наилучшим доступным технологиям вправе получить комплексное экологическое разрешение</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ст.31.2 №7-ФЗ «Об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 01.01.2019г. юридические лица/ИП, осуществляющие деятельность на объектах II категории, представляют декларацию о воздействии на окружающую среду. 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 Приказ Минприроды России от 11.10.2018 № 509 "Об утверждении формы декларации о воздействии на окружающую среду и порядка ее заполнения, в том числе в форме электронного документа, подписанного усиленной квалифицированной электронной подписью" (зарегистрирован в Минюсте России 10.12.2018 №52926)</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ст.67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Юридические лица и ИП, осуществляющие деятельность на объектах I, II и III категорий, разрабатывают, утверждают и осуществляют программу производственного экологического контроля. Юридические лица и ИП обязаны ежегодно представлять отчет об организации и о результатах осуществления производственного экологического контроля.</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п. 9.2.2 Приказа МПР от 28.02.2018 №74 «Об утверждении требований к содержанию программы ПЭК»</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Периодичность отбора и анализа проб сточных вод, поверхностных вод в фоновом и контрольном створах водного объекта, для объектов I и II категории устанавливается не менее одного раза в месяц осуществления сброса сточных вод, по показателю токсичность - не менее одного раза в квартал</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п.2 ст.22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 xml:space="preserve">С 01.01.2019г. расчет нормативов допустимых выбросов, нормативов допустимых сбросов производится юридическими лицами и ИП, планирующими строительство </w:t>
            </w:r>
            <w:r w:rsidRPr="00525268">
              <w:rPr>
                <w:rFonts w:ascii="Arial" w:eastAsia="Times New Roman" w:hAnsi="Arial" w:cs="Arial"/>
                <w:color w:val="000000"/>
                <w:sz w:val="23"/>
                <w:szCs w:val="23"/>
                <w:lang w:eastAsia="ru-RU"/>
              </w:rPr>
              <w:lastRenderedPageBreak/>
              <w:t>объектов I и II категорий (при проведении оценки воздействия на окружающую среду), а также осуществляющими деятельность на объектах II категории</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lastRenderedPageBreak/>
              <w:t>ст.15 №96-ФЗ «Об охране атмосферного воздуха»</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Выбросы вредных (загрязняющих) веществ в атмосферный воздух на объектах II категории, за исключением выбросов радиоактивных веществ, осуществляются на основании декларации о воздействии на окружающую среду, представляемой в соответствии с законодательством в области охраны окружающей среды в уполномоченный Правительством РФ федеральный орган исполнительной власти или орган исполнительной власти субъекта РФ.</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ст.67.1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 01.01.2019г. в случае невозможности соблюдения нормативов допустимых выбросов, нормативов допустимых сбросов юридическими лицами или ИП, осуществляющими деятельность на объектах II и III категорий, на период поэтапного достижения нормативов допустимых выбросов, нормативов допустимых сбросов разрабатывается и утверждается план мероприятий по охране окружающей среды</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ст.18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 01.01.2019г. нормативы образования отходов и лимиты на их размещение разрабатываются юридическими лицами или ИП, осуществляющими деятельность на объектах I и II категорий. Юридические лица и ИП, осуществляющие деятельность на объектах II категории, включают информацию об объеме или о массе образовавшихся и размещенных отходов в декларацию о воздействии на окружающую среду в соответствии с законодательством в области охраны окружающей среды.</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ст.16.1 №7-ФЗ«Об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Плату за негативное воздействие на окружающую среду обязаны вносить юридические лица и ИП, осуществляющие деятельность, оказывающую НВОС, за исключением юридических лиц и ИП, осуществляющих деятельность исключительно на объектах IV категории</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п.5 ст.16.3 №7-ФЗ«Об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 xml:space="preserve">С 01.01.2019г. в целях стимулирования юридических лиц и ИП, осуществляющих деятельность, к проведению мероприятий по снижению негативного воздействия на окружающую среду и внедрению наилучших доступных технологий при исчислении платы за негативное воздействие на окружающую среду к ставкам такой платы </w:t>
            </w:r>
            <w:r w:rsidRPr="00525268">
              <w:rPr>
                <w:rFonts w:ascii="Arial" w:eastAsia="Times New Roman" w:hAnsi="Arial" w:cs="Arial"/>
                <w:color w:val="000000"/>
                <w:sz w:val="23"/>
                <w:szCs w:val="23"/>
                <w:lang w:eastAsia="ru-RU"/>
              </w:rPr>
              <w:lastRenderedPageBreak/>
              <w:t>применяются следующие коэффициенты: коэффициент 100 - за объем или массу выбросов загрязняющих веществ, сбросов загрязняющих веществ, превышающих установленные для объектов I категории такие объем или массу, а также превышающих указанные в декларации о воздействии на окружающую среду для объектов II категории такие объем или массу</w:t>
            </w:r>
          </w:p>
        </w:tc>
      </w:tr>
      <w:tr w:rsidR="00525268" w:rsidRPr="00525268" w:rsidTr="005252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lastRenderedPageBreak/>
              <w:t>п.7 ст.22 №7-ФЗ«Об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25268" w:rsidRPr="00525268" w:rsidRDefault="00525268" w:rsidP="00525268">
            <w:pPr>
              <w:spacing w:after="0" w:line="240" w:lineRule="auto"/>
              <w:rPr>
                <w:rFonts w:ascii="Arial" w:eastAsia="Times New Roman" w:hAnsi="Arial" w:cs="Arial"/>
                <w:color w:val="000000"/>
                <w:sz w:val="23"/>
                <w:szCs w:val="23"/>
                <w:lang w:eastAsia="ru-RU"/>
              </w:rPr>
            </w:pPr>
            <w:r w:rsidRPr="00525268">
              <w:rPr>
                <w:rFonts w:ascii="Arial" w:eastAsia="Times New Roman" w:hAnsi="Arial" w:cs="Arial"/>
                <w:color w:val="000000"/>
                <w:sz w:val="23"/>
                <w:szCs w:val="23"/>
                <w:lang w:eastAsia="ru-RU"/>
              </w:rPr>
              <w:t>Нормативы допустимых выбросов, нормативы допустимых сбросов радиоактивных веществ устанавливаются для стационарных источников разрешениями на выбросы радиоактивных веществ, разрешениями на сбросы радиоактивных веществ, выдаваемыми уполномоченными Правительством РФ федеральным органом исполнительной власти (постановление Правительства РФ от 26.06.2018 №731)</w:t>
            </w:r>
          </w:p>
        </w:tc>
      </w:tr>
    </w:tbl>
    <w:p w:rsidR="00525268" w:rsidRDefault="00525268"/>
    <w:p w:rsidR="00145B84" w:rsidRDefault="00145B84"/>
    <w:p w:rsidR="00CA0768" w:rsidRPr="00CA0768" w:rsidRDefault="00CA0768" w:rsidP="00CA0768">
      <w:pPr>
        <w:spacing w:after="0" w:line="240" w:lineRule="auto"/>
        <w:jc w:val="center"/>
        <w:textAlignment w:val="baseline"/>
        <w:outlineLvl w:val="1"/>
        <w:rPr>
          <w:rFonts w:ascii="Arial" w:eastAsia="Times New Roman" w:hAnsi="Arial" w:cs="Arial"/>
          <w:b/>
          <w:bCs/>
          <w:color w:val="242424"/>
          <w:sz w:val="30"/>
          <w:szCs w:val="30"/>
          <w:lang w:eastAsia="ru-RU"/>
        </w:rPr>
      </w:pPr>
      <w:r w:rsidRPr="00CA0768">
        <w:rPr>
          <w:rFonts w:ascii="Arial" w:eastAsia="Times New Roman" w:hAnsi="Arial" w:cs="Arial"/>
          <w:b/>
          <w:bCs/>
          <w:color w:val="E21C21"/>
          <w:sz w:val="30"/>
          <w:szCs w:val="30"/>
          <w:bdr w:val="none" w:sz="0" w:space="0" w:color="auto" w:frame="1"/>
          <w:lang w:eastAsia="ru-RU"/>
        </w:rPr>
        <w:t>Объекты III категории </w:t>
      </w:r>
      <w:r w:rsidRPr="00CA0768">
        <w:rPr>
          <w:rFonts w:ascii="Arial" w:eastAsia="Times New Roman" w:hAnsi="Arial" w:cs="Arial"/>
          <w:b/>
          <w:bCs/>
          <w:color w:val="242424"/>
          <w:sz w:val="30"/>
          <w:szCs w:val="30"/>
          <w:bdr w:val="none" w:sz="0" w:space="0" w:color="auto" w:frame="1"/>
          <w:lang w:eastAsia="ru-RU"/>
        </w:rPr>
        <w:t>- объекты, оказывающие незначительное НВОС</w:t>
      </w:r>
    </w:p>
    <w:p w:rsidR="00145B84" w:rsidRDefault="00145B84"/>
    <w:tbl>
      <w:tblPr>
        <w:tblW w:w="13995" w:type="dxa"/>
        <w:tblCellSpacing w:w="15" w:type="dxa"/>
        <w:tblBorders>
          <w:top w:val="single" w:sz="12" w:space="0" w:color="0088CB"/>
          <w:bottom w:val="single" w:sz="12" w:space="0" w:color="0088CB"/>
        </w:tblBorders>
        <w:tblCellMar>
          <w:top w:w="15" w:type="dxa"/>
          <w:left w:w="15" w:type="dxa"/>
          <w:bottom w:w="15" w:type="dxa"/>
          <w:right w:w="15" w:type="dxa"/>
        </w:tblCellMar>
        <w:tblLook w:val="04A0" w:firstRow="1" w:lastRow="0" w:firstColumn="1" w:lastColumn="0" w:noHBand="0" w:noVBand="1"/>
      </w:tblPr>
      <w:tblGrid>
        <w:gridCol w:w="4271"/>
        <w:gridCol w:w="9724"/>
      </w:tblGrid>
      <w:tr w:rsidR="00CA0768" w:rsidRPr="00CA0768" w:rsidTr="00CA0768">
        <w:trPr>
          <w:tblHeader/>
          <w:tblCellSpacing w:w="15" w:type="dxa"/>
        </w:trPr>
        <w:tc>
          <w:tcPr>
            <w:tcW w:w="0" w:type="auto"/>
            <w:tcBorders>
              <w:top w:val="nil"/>
              <w:left w:val="nil"/>
              <w:bottom w:val="single" w:sz="2" w:space="0" w:color="0088CB"/>
              <w:right w:val="nil"/>
            </w:tcBorders>
            <w:shd w:val="clear" w:color="auto" w:fill="D1D1D1"/>
            <w:tcMar>
              <w:top w:w="90" w:type="dxa"/>
              <w:left w:w="90" w:type="dxa"/>
              <w:bottom w:w="90" w:type="dxa"/>
              <w:right w:w="90" w:type="dxa"/>
            </w:tcMar>
            <w:hideMark/>
          </w:tcPr>
          <w:p w:rsidR="00CA0768" w:rsidRPr="00CA0768" w:rsidRDefault="00CA0768" w:rsidP="00CA0768">
            <w:pPr>
              <w:spacing w:after="0" w:line="240" w:lineRule="auto"/>
              <w:rPr>
                <w:rFonts w:ascii="Arial" w:eastAsia="Times New Roman" w:hAnsi="Arial" w:cs="Arial"/>
                <w:b/>
                <w:bCs/>
                <w:color w:val="242424"/>
                <w:sz w:val="26"/>
                <w:szCs w:val="26"/>
                <w:lang w:eastAsia="ru-RU"/>
              </w:rPr>
            </w:pPr>
            <w:r w:rsidRPr="00CA0768">
              <w:rPr>
                <w:rFonts w:ascii="Arial" w:eastAsia="Times New Roman" w:hAnsi="Arial" w:cs="Arial"/>
                <w:b/>
                <w:bCs/>
                <w:color w:val="242424"/>
                <w:sz w:val="26"/>
                <w:szCs w:val="26"/>
                <w:lang w:eastAsia="ru-RU"/>
              </w:rPr>
              <w:t>Нормативно-правовой акт</w:t>
            </w:r>
          </w:p>
        </w:tc>
        <w:tc>
          <w:tcPr>
            <w:tcW w:w="0" w:type="auto"/>
            <w:tcBorders>
              <w:top w:val="nil"/>
              <w:left w:val="single" w:sz="12" w:space="0" w:color="0088CB"/>
              <w:bottom w:val="single" w:sz="2" w:space="0" w:color="0088CB"/>
              <w:right w:val="nil"/>
            </w:tcBorders>
            <w:shd w:val="clear" w:color="auto" w:fill="D1D1D1"/>
            <w:tcMar>
              <w:top w:w="90" w:type="dxa"/>
              <w:left w:w="90" w:type="dxa"/>
              <w:bottom w:w="90" w:type="dxa"/>
              <w:right w:w="90" w:type="dxa"/>
            </w:tcMar>
            <w:hideMark/>
          </w:tcPr>
          <w:p w:rsidR="00CA0768" w:rsidRPr="00CA0768" w:rsidRDefault="00CA0768" w:rsidP="00CA0768">
            <w:pPr>
              <w:spacing w:after="0" w:line="240" w:lineRule="auto"/>
              <w:rPr>
                <w:rFonts w:ascii="Arial" w:eastAsia="Times New Roman" w:hAnsi="Arial" w:cs="Arial"/>
                <w:b/>
                <w:bCs/>
                <w:color w:val="242424"/>
                <w:sz w:val="26"/>
                <w:szCs w:val="26"/>
                <w:lang w:eastAsia="ru-RU"/>
              </w:rPr>
            </w:pPr>
            <w:r w:rsidRPr="00CA0768">
              <w:rPr>
                <w:rFonts w:ascii="Arial" w:eastAsia="Times New Roman" w:hAnsi="Arial" w:cs="Arial"/>
                <w:b/>
                <w:bCs/>
                <w:color w:val="242424"/>
                <w:sz w:val="26"/>
                <w:szCs w:val="26"/>
                <w:lang w:eastAsia="ru-RU"/>
              </w:rPr>
              <w:t>Требование</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ст.14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 xml:space="preserve">ИП и </w:t>
            </w:r>
            <w:proofErr w:type="spellStart"/>
            <w:r w:rsidRPr="00CA0768">
              <w:rPr>
                <w:rFonts w:ascii="Arial" w:eastAsia="Times New Roman" w:hAnsi="Arial" w:cs="Arial"/>
                <w:color w:val="000000"/>
                <w:sz w:val="23"/>
                <w:szCs w:val="23"/>
                <w:lang w:eastAsia="ru-RU"/>
              </w:rPr>
              <w:t>юридическе</w:t>
            </w:r>
            <w:proofErr w:type="spellEnd"/>
            <w:r w:rsidRPr="00CA0768">
              <w:rPr>
                <w:rFonts w:ascii="Arial" w:eastAsia="Times New Roman" w:hAnsi="Arial" w:cs="Arial"/>
                <w:color w:val="000000"/>
                <w:sz w:val="23"/>
                <w:szCs w:val="23"/>
                <w:lang w:eastAsia="ru-RU"/>
              </w:rPr>
              <w:t xml:space="preserve"> лица, в процессе деятельности которых образуются отходы I - IV классов опасности, обязаны осуществить отнесение соответствующих отходов к конкретному классу опасности и составить паспорт отходов. Порядок паспортизации и типовые формы паспортов утверждены постановлением Правительства от 16.08.2013 №712</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ст.19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 xml:space="preserve">ИП и юридические лица, осуществляющие деятельность в области обращения с отходами, обязаны вести в установленном порядке учет образовавшихся, утилизированных, обезвреженных, переданных другим лицам или полученных от других лиц, а также размещенных отходов. Порядок учета в области обращения с отходами </w:t>
            </w:r>
            <w:proofErr w:type="spellStart"/>
            <w:r w:rsidRPr="00CA0768">
              <w:rPr>
                <w:rFonts w:ascii="Arial" w:eastAsia="Times New Roman" w:hAnsi="Arial" w:cs="Arial"/>
                <w:color w:val="000000"/>
                <w:sz w:val="23"/>
                <w:szCs w:val="23"/>
                <w:lang w:eastAsia="ru-RU"/>
              </w:rPr>
              <w:t>устанавлен</w:t>
            </w:r>
            <w:proofErr w:type="spellEnd"/>
            <w:r w:rsidRPr="00CA0768">
              <w:rPr>
                <w:rFonts w:ascii="Arial" w:eastAsia="Times New Roman" w:hAnsi="Arial" w:cs="Arial"/>
                <w:color w:val="000000"/>
                <w:sz w:val="23"/>
                <w:szCs w:val="23"/>
                <w:lang w:eastAsia="ru-RU"/>
              </w:rPr>
              <w:t xml:space="preserve"> приказом Минприроды от 01.09.2011 №721.</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lastRenderedPageBreak/>
              <w:t>ст.19 №89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ИП и юридические лица, осуществляющие деятельность в области обращения с отходами (сбор, накопление, транспортирование, обработку, утилизацию, обезвреживание, размещение), обязаны ежегодно предоставлять отчетность по форме 2-ТП (отходы), утвержденной приказом Росстата от 10.08.2017 №529</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ст.67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Юридические лица и ИП, осуществляющие деятельность на объектах I, II и III категорий, разрабатывают, утверждают и осуществляют программу производственного экологического контроля. Юридические лица и ИП обязаны ежегодно представлять отчет об организации и о результатах осуществления производственного экологического контроля.</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п. 9.2.2 Приказа МПР от 28.02.2018 №74 «Об утверждении требований к содержанию программы ПЭК»</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Периодичность отбора и анализа проб сточных вод, поверхностных вод в фоновом и контрольном створах водного объекта, для объектов III категории устанавливается не менее одного раза в квартал, по показателю токсичность - не менее одного раза в квартал</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п.5 ст.18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 01.01.2019г. Юридические лица и ИП, осуществляющие деятельность на объектах III категории, представляют в уполномоченный Правительством РФ федеральный орган исполнительной власти или исполнительные органы государственной власти субъектов РФ в соответствии с их компетенцией в уведомительном порядке отчетность об образовании, использовании, обезвреживании, о размещении отходов</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п.4 ст.22 №7-ФЗ«Об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 01.01.19г. нормативы допустимых выбросов, нормативы допустимых сбросов, за исключением радиоактивных, высокотоксичных веществ, веществ, обладающих канцерогенными, мутагенными свойствами (веществ I, II класса опасности), не рассчитываются для объектов III категории.</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ст.15 №96-ФЗ «Об охране атмосферного воздуха»</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Для осуществления выбросов вредных (загрязняющих) веществ в атмосферный воздух на объектах III категории, за исключением выбросов радиоактивных веществ, юридические лица и ИП, представляют в уполномоченный Правительством РФ федеральный орган исполнительной власти или орган исполнительной власти субъекта РФ в уведомительном порядке отчетность о выбросах вредных (загрязняющих) веществ в атмосферный воздух.</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lastRenderedPageBreak/>
              <w:t>ст.67.1 №7-ФЗ «Об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 01.01.2019г. в случае невозможности соблюдения нормативов допустимых выбросов, нормативов допустимых сбросов юридическими лицами или ИП, осуществляющими деятельность на объектах II и III категорий, на период поэтапного достижения нормативов допустимых выбросов, нормативов допустимых сбросов разрабатывается и утверждается план мероприятий по охране окружающей среды</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ст.16.1 №7-ФЗ«Об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Плату за негативное воздействие на окружающую среду обязаны вносить юридические лица и ИП, осуществляющие деятельность, оказывающую НВОС, за исключением юридических лиц и ИП, осуществляющих деятельность исключительно на объектах IV категории</w:t>
            </w:r>
          </w:p>
        </w:tc>
      </w:tr>
      <w:tr w:rsidR="00CA0768" w:rsidRPr="00CA0768" w:rsidTr="00CA0768">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п.8 ст.16.3 №7-ФЗ«Об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CA0768" w:rsidRPr="00CA0768" w:rsidRDefault="00CA0768" w:rsidP="00CA0768">
            <w:pPr>
              <w:spacing w:after="0" w:line="240" w:lineRule="auto"/>
              <w:rPr>
                <w:rFonts w:ascii="Arial" w:eastAsia="Times New Roman" w:hAnsi="Arial" w:cs="Arial"/>
                <w:color w:val="000000"/>
                <w:sz w:val="23"/>
                <w:szCs w:val="23"/>
                <w:lang w:eastAsia="ru-RU"/>
              </w:rPr>
            </w:pPr>
            <w:r w:rsidRPr="00CA0768">
              <w:rPr>
                <w:rFonts w:ascii="Arial" w:eastAsia="Times New Roman" w:hAnsi="Arial" w:cs="Arial"/>
                <w:color w:val="000000"/>
                <w:sz w:val="23"/>
                <w:szCs w:val="23"/>
                <w:lang w:eastAsia="ru-RU"/>
              </w:rPr>
              <w:t>С 01.01.2019г при исчислении платы за негативное воздействие на окружающую среду юридическими лицами и ИП, осуществляющими деятельность на объектах III категории, объем или масса выбросов загрязняющих веществ, сбросов загрязняющих веществ, указанные в отчете об организации и о результатах осуществления производственного экологического контроля, признаются осуществляемыми в пределах нормативов допустимых выбросов, нормативов допустимых сбросов, за исключением радиоактивных веществ, высокотоксичных веществ, веществ, обладающих канцерогенными, мутагенными свойствами (веществ I, II класса опасности)</w:t>
            </w:r>
          </w:p>
        </w:tc>
      </w:tr>
    </w:tbl>
    <w:p w:rsidR="00CA0768" w:rsidRDefault="00CA0768"/>
    <w:p w:rsidR="00CA0768" w:rsidRDefault="00CA0768"/>
    <w:p w:rsidR="005F2AF4" w:rsidRDefault="005F2AF4"/>
    <w:p w:rsidR="005F2AF4" w:rsidRDefault="005F2AF4"/>
    <w:p w:rsidR="005F2AF4" w:rsidRDefault="005F2AF4"/>
    <w:p w:rsidR="005F2AF4" w:rsidRDefault="005F2AF4"/>
    <w:p w:rsidR="005F2AF4" w:rsidRDefault="005F2AF4"/>
    <w:p w:rsidR="00125817" w:rsidRPr="00125817" w:rsidRDefault="00125817" w:rsidP="00125817">
      <w:pPr>
        <w:spacing w:after="0" w:line="240" w:lineRule="auto"/>
        <w:jc w:val="center"/>
        <w:textAlignment w:val="baseline"/>
        <w:outlineLvl w:val="1"/>
        <w:rPr>
          <w:rFonts w:ascii="Arial" w:eastAsia="Times New Roman" w:hAnsi="Arial" w:cs="Arial"/>
          <w:b/>
          <w:bCs/>
          <w:color w:val="242424"/>
          <w:sz w:val="30"/>
          <w:szCs w:val="30"/>
          <w:lang w:eastAsia="ru-RU"/>
        </w:rPr>
      </w:pPr>
      <w:r w:rsidRPr="00125817">
        <w:rPr>
          <w:rFonts w:ascii="Arial" w:eastAsia="Times New Roman" w:hAnsi="Arial" w:cs="Arial"/>
          <w:b/>
          <w:bCs/>
          <w:color w:val="E21C21"/>
          <w:sz w:val="30"/>
          <w:szCs w:val="30"/>
          <w:bdr w:val="none" w:sz="0" w:space="0" w:color="auto" w:frame="1"/>
          <w:lang w:eastAsia="ru-RU"/>
        </w:rPr>
        <w:lastRenderedPageBreak/>
        <w:t>Объекты IV категории</w:t>
      </w:r>
      <w:r w:rsidRPr="00125817">
        <w:rPr>
          <w:rFonts w:ascii="Arial" w:eastAsia="Times New Roman" w:hAnsi="Arial" w:cs="Arial"/>
          <w:b/>
          <w:bCs/>
          <w:color w:val="000000"/>
          <w:sz w:val="30"/>
          <w:szCs w:val="30"/>
          <w:bdr w:val="none" w:sz="0" w:space="0" w:color="auto" w:frame="1"/>
          <w:lang w:eastAsia="ru-RU"/>
        </w:rPr>
        <w:t> - объекты, оказывающие минимальное НВОС</w:t>
      </w:r>
    </w:p>
    <w:p w:rsidR="00CA0768" w:rsidRDefault="00CA0768"/>
    <w:tbl>
      <w:tblPr>
        <w:tblW w:w="13995" w:type="dxa"/>
        <w:tblCellSpacing w:w="15" w:type="dxa"/>
        <w:tblBorders>
          <w:top w:val="single" w:sz="12" w:space="0" w:color="0088CB"/>
          <w:bottom w:val="single" w:sz="12" w:space="0" w:color="0088CB"/>
        </w:tblBorders>
        <w:tblCellMar>
          <w:top w:w="15" w:type="dxa"/>
          <w:left w:w="15" w:type="dxa"/>
          <w:bottom w:w="15" w:type="dxa"/>
          <w:right w:w="15" w:type="dxa"/>
        </w:tblCellMar>
        <w:tblLook w:val="04A0" w:firstRow="1" w:lastRow="0" w:firstColumn="1" w:lastColumn="0" w:noHBand="0" w:noVBand="1"/>
      </w:tblPr>
      <w:tblGrid>
        <w:gridCol w:w="3214"/>
        <w:gridCol w:w="10781"/>
      </w:tblGrid>
      <w:tr w:rsidR="005E2BF9" w:rsidRPr="005E2BF9" w:rsidTr="005E2BF9">
        <w:trPr>
          <w:tblHeader/>
          <w:tblCellSpacing w:w="15" w:type="dxa"/>
        </w:trPr>
        <w:tc>
          <w:tcPr>
            <w:tcW w:w="0" w:type="auto"/>
            <w:tcBorders>
              <w:top w:val="nil"/>
              <w:left w:val="nil"/>
              <w:bottom w:val="single" w:sz="2" w:space="0" w:color="0088CB"/>
              <w:right w:val="nil"/>
            </w:tcBorders>
            <w:shd w:val="clear" w:color="auto" w:fill="D1D1D1"/>
            <w:tcMar>
              <w:top w:w="90" w:type="dxa"/>
              <w:left w:w="90" w:type="dxa"/>
              <w:bottom w:w="90" w:type="dxa"/>
              <w:right w:w="90" w:type="dxa"/>
            </w:tcMar>
            <w:hideMark/>
          </w:tcPr>
          <w:p w:rsidR="005E2BF9" w:rsidRPr="005E2BF9" w:rsidRDefault="005E2BF9" w:rsidP="005E2BF9">
            <w:pPr>
              <w:spacing w:after="0" w:line="240" w:lineRule="auto"/>
              <w:rPr>
                <w:rFonts w:ascii="Arial" w:eastAsia="Times New Roman" w:hAnsi="Arial" w:cs="Arial"/>
                <w:b/>
                <w:bCs/>
                <w:color w:val="242424"/>
                <w:sz w:val="26"/>
                <w:szCs w:val="26"/>
                <w:lang w:eastAsia="ru-RU"/>
              </w:rPr>
            </w:pPr>
            <w:r w:rsidRPr="005E2BF9">
              <w:rPr>
                <w:rFonts w:ascii="Arial" w:eastAsia="Times New Roman" w:hAnsi="Arial" w:cs="Arial"/>
                <w:b/>
                <w:bCs/>
                <w:color w:val="242424"/>
                <w:sz w:val="26"/>
                <w:szCs w:val="26"/>
                <w:lang w:eastAsia="ru-RU"/>
              </w:rPr>
              <w:t>Нормативно-правовой акт</w:t>
            </w:r>
          </w:p>
        </w:tc>
        <w:tc>
          <w:tcPr>
            <w:tcW w:w="0" w:type="auto"/>
            <w:tcBorders>
              <w:top w:val="nil"/>
              <w:left w:val="single" w:sz="12" w:space="0" w:color="0088CB"/>
              <w:bottom w:val="single" w:sz="2" w:space="0" w:color="0088CB"/>
              <w:right w:val="nil"/>
            </w:tcBorders>
            <w:shd w:val="clear" w:color="auto" w:fill="D1D1D1"/>
            <w:tcMar>
              <w:top w:w="90" w:type="dxa"/>
              <w:left w:w="90" w:type="dxa"/>
              <w:bottom w:w="90" w:type="dxa"/>
              <w:right w:w="90" w:type="dxa"/>
            </w:tcMar>
            <w:hideMark/>
          </w:tcPr>
          <w:p w:rsidR="005E2BF9" w:rsidRPr="005E2BF9" w:rsidRDefault="005E2BF9" w:rsidP="005E2BF9">
            <w:pPr>
              <w:spacing w:after="0" w:line="240" w:lineRule="auto"/>
              <w:rPr>
                <w:rFonts w:ascii="Arial" w:eastAsia="Times New Roman" w:hAnsi="Arial" w:cs="Arial"/>
                <w:b/>
                <w:bCs/>
                <w:color w:val="242424"/>
                <w:sz w:val="26"/>
                <w:szCs w:val="26"/>
                <w:lang w:eastAsia="ru-RU"/>
              </w:rPr>
            </w:pPr>
            <w:r w:rsidRPr="005E2BF9">
              <w:rPr>
                <w:rFonts w:ascii="Arial" w:eastAsia="Times New Roman" w:hAnsi="Arial" w:cs="Arial"/>
                <w:b/>
                <w:bCs/>
                <w:color w:val="242424"/>
                <w:sz w:val="26"/>
                <w:szCs w:val="26"/>
                <w:lang w:eastAsia="ru-RU"/>
              </w:rPr>
              <w:t>Требование</w:t>
            </w:r>
          </w:p>
        </w:tc>
      </w:tr>
      <w:tr w:rsidR="005E2BF9" w:rsidRPr="005E2BF9" w:rsidTr="005E2BF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ст.14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 xml:space="preserve">ИП и </w:t>
            </w:r>
            <w:proofErr w:type="spellStart"/>
            <w:r w:rsidRPr="005E2BF9">
              <w:rPr>
                <w:rFonts w:ascii="Arial" w:eastAsia="Times New Roman" w:hAnsi="Arial" w:cs="Arial"/>
                <w:color w:val="000000"/>
                <w:sz w:val="23"/>
                <w:szCs w:val="23"/>
                <w:lang w:eastAsia="ru-RU"/>
              </w:rPr>
              <w:t>юридическе</w:t>
            </w:r>
            <w:proofErr w:type="spellEnd"/>
            <w:r w:rsidRPr="005E2BF9">
              <w:rPr>
                <w:rFonts w:ascii="Arial" w:eastAsia="Times New Roman" w:hAnsi="Arial" w:cs="Arial"/>
                <w:color w:val="000000"/>
                <w:sz w:val="23"/>
                <w:szCs w:val="23"/>
                <w:lang w:eastAsia="ru-RU"/>
              </w:rPr>
              <w:t xml:space="preserve"> лица, в процессе деятельности которых образуются отходы I - IV классов опасности, обязаны осуществить отнесение соответствующих отходов к конкретному классу опасности и составить паспорт отходов. Порядок паспортизации и типовые формы паспортов утверждены постановлением Правительства от 16.08.2013 №712</w:t>
            </w:r>
          </w:p>
        </w:tc>
      </w:tr>
      <w:tr w:rsidR="005E2BF9" w:rsidRPr="005E2BF9" w:rsidTr="005E2BF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ст.19 №89-ФЗ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 xml:space="preserve">ИП и юридические лица, осуществляющие деятельность в области обращения с отходами, обязаны вести в установленном порядке учет образовавшихся, утилизированных, обезвреженных, переданных другим лицам или полученных от других лиц, а также размещенных отходов. Порядок учета в области обращения с отходами </w:t>
            </w:r>
            <w:proofErr w:type="spellStart"/>
            <w:r w:rsidRPr="005E2BF9">
              <w:rPr>
                <w:rFonts w:ascii="Arial" w:eastAsia="Times New Roman" w:hAnsi="Arial" w:cs="Arial"/>
                <w:color w:val="000000"/>
                <w:sz w:val="23"/>
                <w:szCs w:val="23"/>
                <w:lang w:eastAsia="ru-RU"/>
              </w:rPr>
              <w:t>устанавлен</w:t>
            </w:r>
            <w:proofErr w:type="spellEnd"/>
            <w:r w:rsidRPr="005E2BF9">
              <w:rPr>
                <w:rFonts w:ascii="Arial" w:eastAsia="Times New Roman" w:hAnsi="Arial" w:cs="Arial"/>
                <w:color w:val="000000"/>
                <w:sz w:val="23"/>
                <w:szCs w:val="23"/>
                <w:lang w:eastAsia="ru-RU"/>
              </w:rPr>
              <w:t xml:space="preserve"> приказом Минприроды от 01.09.2011 №721.</w:t>
            </w:r>
          </w:p>
        </w:tc>
      </w:tr>
      <w:tr w:rsidR="005E2BF9" w:rsidRPr="005E2BF9" w:rsidTr="005E2BF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ст.19 №89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ИП и юридические лица, осуществляющие деятельность в области обращения с отходами (сбор, накопление, транспортирование, обработку, утилизацию, обезвреживание, размещение), обязаны ежегодно предоставлять отчетность по форме 2-ТП (отходы), утвержденной приказом Росстата от 10.08.2017 №529</w:t>
            </w:r>
          </w:p>
        </w:tc>
      </w:tr>
      <w:tr w:rsidR="005E2BF9" w:rsidRPr="005E2BF9" w:rsidTr="005E2BF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п.9 ст.65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С 01.01.19г. в отношении юридических лиц и ИП, осуществляющих деятельность на объектах IV категории, плановые проверки не проводятся</w:t>
            </w:r>
          </w:p>
        </w:tc>
      </w:tr>
      <w:tr w:rsidR="005E2BF9" w:rsidRPr="005E2BF9" w:rsidTr="005E2BF9">
        <w:trPr>
          <w:tblCellSpacing w:w="15" w:type="dxa"/>
        </w:trPr>
        <w:tc>
          <w:tcPr>
            <w:tcW w:w="0" w:type="auto"/>
            <w:tcBorders>
              <w:top w:val="single" w:sz="12" w:space="0" w:color="0088CB"/>
              <w:left w:val="nil"/>
              <w:bottom w:val="nil"/>
              <w:right w:val="nil"/>
            </w:tcBorders>
            <w:shd w:val="clear" w:color="auto" w:fill="C7E1E6"/>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п.2 ст.67 №7-ФЗ «Об охране окружающей среды»</w:t>
            </w:r>
          </w:p>
        </w:tc>
        <w:tc>
          <w:tcPr>
            <w:tcW w:w="0" w:type="auto"/>
            <w:tcBorders>
              <w:top w:val="single" w:sz="12" w:space="0" w:color="0088CB"/>
              <w:left w:val="single" w:sz="12" w:space="0" w:color="0088CB"/>
              <w:bottom w:val="nil"/>
              <w:right w:val="nil"/>
            </w:tcBorders>
            <w:shd w:val="clear" w:color="auto" w:fill="C7E1E6"/>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Производственный экологический контроль на объектах IV категории не проводится</w:t>
            </w:r>
          </w:p>
        </w:tc>
      </w:tr>
      <w:tr w:rsidR="005E2BF9" w:rsidRPr="005E2BF9" w:rsidTr="005E2BF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п.1 ст.16.1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Юридические лица и ИП, осуществляющих хозяйственную и (или) иную деятельность исключительно на объектах IV категории, не вносят плату за негативное воздействие на окружающую среду</w:t>
            </w:r>
          </w:p>
        </w:tc>
      </w:tr>
      <w:tr w:rsidR="005E2BF9" w:rsidRPr="005E2BF9" w:rsidTr="005E2BF9">
        <w:trPr>
          <w:tblCellSpacing w:w="15" w:type="dxa"/>
        </w:trPr>
        <w:tc>
          <w:tcPr>
            <w:tcW w:w="0" w:type="auto"/>
            <w:tcBorders>
              <w:top w:val="single" w:sz="12" w:space="0" w:color="0088CB"/>
              <w:left w:val="nil"/>
              <w:bottom w:val="nil"/>
              <w:right w:val="nil"/>
            </w:tcBorders>
            <w:shd w:val="clear" w:color="auto" w:fill="FFFFFF"/>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lastRenderedPageBreak/>
              <w:t>ст.18 №89-ФЗ«Об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FFFFFF"/>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С 01.01.2019г. при осуществлении деятельности на объектах IV категории, разработка нормативов образования отходов и лимитов на их размещение и представление отчетности об образовании, использовании, обезвреживании, о размещении отходов не требуются</w:t>
            </w:r>
          </w:p>
        </w:tc>
      </w:tr>
      <w:tr w:rsidR="005E2BF9" w:rsidRPr="005E2BF9" w:rsidTr="005E2BF9">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п.5 ст.22 №7-ФЗ «Об охране окружающей среды»</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E2BF9" w:rsidRPr="005E2BF9" w:rsidRDefault="005E2BF9" w:rsidP="005E2BF9">
            <w:pPr>
              <w:spacing w:after="0" w:line="240" w:lineRule="auto"/>
              <w:rPr>
                <w:rFonts w:ascii="Arial" w:eastAsia="Times New Roman" w:hAnsi="Arial" w:cs="Arial"/>
                <w:color w:val="000000"/>
                <w:sz w:val="23"/>
                <w:szCs w:val="23"/>
                <w:lang w:eastAsia="ru-RU"/>
              </w:rPr>
            </w:pPr>
            <w:r w:rsidRPr="005E2BF9">
              <w:rPr>
                <w:rFonts w:ascii="Arial" w:eastAsia="Times New Roman" w:hAnsi="Arial" w:cs="Arial"/>
                <w:color w:val="000000"/>
                <w:sz w:val="23"/>
                <w:szCs w:val="23"/>
                <w:lang w:eastAsia="ru-RU"/>
              </w:rPr>
              <w:t>С 01.01.19г. нормативы допустимых выбросов, нормативы допустимых сбросов не рассчитываются для объектов IV категории</w:t>
            </w:r>
          </w:p>
        </w:tc>
      </w:tr>
    </w:tbl>
    <w:p w:rsidR="00125817" w:rsidRDefault="00125817"/>
    <w:p w:rsidR="005F2AF4" w:rsidRDefault="005F2AF4"/>
    <w:p w:rsidR="005F2AF4" w:rsidRPr="005F2AF4" w:rsidRDefault="005F2AF4" w:rsidP="000D0B5B">
      <w:pPr>
        <w:spacing w:after="0" w:line="240" w:lineRule="auto"/>
        <w:jc w:val="center"/>
        <w:textAlignment w:val="baseline"/>
        <w:outlineLvl w:val="0"/>
        <w:rPr>
          <w:rFonts w:ascii="Arial" w:eastAsia="Times New Roman" w:hAnsi="Arial" w:cs="Arial"/>
          <w:b/>
          <w:bCs/>
          <w:color w:val="242424"/>
          <w:kern w:val="36"/>
          <w:sz w:val="30"/>
          <w:szCs w:val="30"/>
          <w:lang w:eastAsia="ru-RU"/>
        </w:rPr>
      </w:pPr>
      <w:r w:rsidRPr="005F2AF4">
        <w:rPr>
          <w:rFonts w:ascii="Arial" w:eastAsia="Times New Roman" w:hAnsi="Arial" w:cs="Arial"/>
          <w:b/>
          <w:bCs/>
          <w:color w:val="242424"/>
          <w:kern w:val="36"/>
          <w:sz w:val="30"/>
          <w:szCs w:val="30"/>
          <w:bdr w:val="none" w:sz="0" w:space="0" w:color="auto" w:frame="1"/>
          <w:lang w:eastAsia="ru-RU"/>
        </w:rPr>
        <w:t>Иная отчетность предприятий</w:t>
      </w:r>
    </w:p>
    <w:p w:rsidR="005F2AF4" w:rsidRDefault="005F2AF4"/>
    <w:tbl>
      <w:tblPr>
        <w:tblW w:w="13860" w:type="dxa"/>
        <w:tblCellSpacing w:w="15" w:type="dxa"/>
        <w:tblBorders>
          <w:top w:val="single" w:sz="2" w:space="0" w:color="0088CB"/>
        </w:tblBorders>
        <w:tblCellMar>
          <w:top w:w="15" w:type="dxa"/>
          <w:left w:w="15" w:type="dxa"/>
          <w:bottom w:w="15" w:type="dxa"/>
          <w:right w:w="15" w:type="dxa"/>
        </w:tblCellMar>
        <w:tblLook w:val="04A0" w:firstRow="1" w:lastRow="0" w:firstColumn="1" w:lastColumn="0" w:noHBand="0" w:noVBand="1"/>
      </w:tblPr>
      <w:tblGrid>
        <w:gridCol w:w="3433"/>
        <w:gridCol w:w="10427"/>
      </w:tblGrid>
      <w:tr w:rsidR="005F2AF4" w:rsidRPr="005F2AF4" w:rsidTr="005F2AF4">
        <w:trPr>
          <w:tblHeader/>
          <w:tblCellSpacing w:w="15" w:type="dxa"/>
        </w:trPr>
        <w:tc>
          <w:tcPr>
            <w:tcW w:w="0" w:type="auto"/>
            <w:tcBorders>
              <w:top w:val="nil"/>
              <w:left w:val="nil"/>
              <w:bottom w:val="single" w:sz="2" w:space="0" w:color="0088CB"/>
              <w:right w:val="nil"/>
            </w:tcBorders>
            <w:shd w:val="clear" w:color="auto" w:fill="D1D1D1"/>
            <w:tcMar>
              <w:top w:w="90" w:type="dxa"/>
              <w:left w:w="90" w:type="dxa"/>
              <w:bottom w:w="90" w:type="dxa"/>
              <w:right w:w="90" w:type="dxa"/>
            </w:tcMar>
            <w:hideMark/>
          </w:tcPr>
          <w:p w:rsidR="005F2AF4" w:rsidRPr="005F2AF4" w:rsidRDefault="005F2AF4" w:rsidP="005F2AF4">
            <w:pPr>
              <w:spacing w:after="0" w:line="240" w:lineRule="auto"/>
              <w:rPr>
                <w:rFonts w:ascii="Arial" w:eastAsia="Times New Roman" w:hAnsi="Arial" w:cs="Arial"/>
                <w:b/>
                <w:bCs/>
                <w:color w:val="242424"/>
                <w:sz w:val="26"/>
                <w:szCs w:val="26"/>
                <w:lang w:eastAsia="ru-RU"/>
              </w:rPr>
            </w:pPr>
            <w:r w:rsidRPr="005F2AF4">
              <w:rPr>
                <w:rFonts w:ascii="Arial" w:eastAsia="Times New Roman" w:hAnsi="Arial" w:cs="Arial"/>
                <w:b/>
                <w:bCs/>
                <w:color w:val="242424"/>
                <w:sz w:val="26"/>
                <w:szCs w:val="26"/>
                <w:lang w:eastAsia="ru-RU"/>
              </w:rPr>
              <w:t>Нормативно-правовой акт</w:t>
            </w:r>
          </w:p>
        </w:tc>
        <w:tc>
          <w:tcPr>
            <w:tcW w:w="0" w:type="auto"/>
            <w:tcBorders>
              <w:top w:val="nil"/>
              <w:left w:val="single" w:sz="12" w:space="0" w:color="0088CB"/>
              <w:bottom w:val="single" w:sz="2" w:space="0" w:color="0088CB"/>
              <w:right w:val="nil"/>
            </w:tcBorders>
            <w:shd w:val="clear" w:color="auto" w:fill="D1D1D1"/>
            <w:tcMar>
              <w:top w:w="90" w:type="dxa"/>
              <w:left w:w="90" w:type="dxa"/>
              <w:bottom w:w="90" w:type="dxa"/>
              <w:right w:w="90" w:type="dxa"/>
            </w:tcMar>
            <w:hideMark/>
          </w:tcPr>
          <w:p w:rsidR="005F2AF4" w:rsidRPr="005F2AF4" w:rsidRDefault="005F2AF4" w:rsidP="005F2AF4">
            <w:pPr>
              <w:spacing w:after="0" w:line="240" w:lineRule="auto"/>
              <w:rPr>
                <w:rFonts w:ascii="Arial" w:eastAsia="Times New Roman" w:hAnsi="Arial" w:cs="Arial"/>
                <w:b/>
                <w:bCs/>
                <w:color w:val="242424"/>
                <w:sz w:val="26"/>
                <w:szCs w:val="26"/>
                <w:lang w:eastAsia="ru-RU"/>
              </w:rPr>
            </w:pPr>
            <w:r w:rsidRPr="005F2AF4">
              <w:rPr>
                <w:rFonts w:ascii="Arial" w:eastAsia="Times New Roman" w:hAnsi="Arial" w:cs="Arial"/>
                <w:b/>
                <w:bCs/>
                <w:color w:val="242424"/>
                <w:sz w:val="26"/>
                <w:szCs w:val="26"/>
                <w:lang w:eastAsia="ru-RU"/>
              </w:rPr>
              <w:t>Требование</w:t>
            </w:r>
          </w:p>
        </w:tc>
      </w:tr>
      <w:tr w:rsidR="005F2AF4" w:rsidRPr="005F2AF4" w:rsidTr="005F2AF4">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F2AF4" w:rsidRPr="005F2AF4" w:rsidRDefault="005F2AF4" w:rsidP="005F2AF4">
            <w:pPr>
              <w:spacing w:after="0" w:line="240" w:lineRule="auto"/>
              <w:rPr>
                <w:rFonts w:ascii="Arial" w:eastAsia="Times New Roman" w:hAnsi="Arial" w:cs="Arial"/>
                <w:color w:val="554C05"/>
                <w:sz w:val="23"/>
                <w:szCs w:val="23"/>
                <w:lang w:eastAsia="ru-RU"/>
              </w:rPr>
            </w:pPr>
            <w:r w:rsidRPr="005F2AF4">
              <w:rPr>
                <w:rFonts w:ascii="Arial" w:eastAsia="Times New Roman" w:hAnsi="Arial" w:cs="Arial"/>
                <w:color w:val="554C05"/>
                <w:sz w:val="23"/>
                <w:szCs w:val="23"/>
                <w:lang w:eastAsia="ru-RU"/>
              </w:rPr>
              <w:t>приказ Росстата от 01.08.2018г №473</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F2AF4" w:rsidRPr="005F2AF4" w:rsidRDefault="005F2AF4" w:rsidP="005F2AF4">
            <w:pPr>
              <w:spacing w:after="0" w:line="240" w:lineRule="auto"/>
              <w:rPr>
                <w:rFonts w:ascii="Arial" w:eastAsia="Times New Roman" w:hAnsi="Arial" w:cs="Arial"/>
                <w:color w:val="554C05"/>
                <w:sz w:val="23"/>
                <w:szCs w:val="23"/>
                <w:lang w:eastAsia="ru-RU"/>
              </w:rPr>
            </w:pPr>
            <w:r w:rsidRPr="005F2AF4">
              <w:rPr>
                <w:rFonts w:ascii="Arial" w:eastAsia="Times New Roman" w:hAnsi="Arial" w:cs="Arial"/>
                <w:color w:val="554C05"/>
                <w:sz w:val="23"/>
                <w:szCs w:val="23"/>
                <w:lang w:eastAsia="ru-RU"/>
              </w:rPr>
              <w:t>Форму федерального статистического наблюдения N 4-ОС "Сведения о текущих затратах на охрану окружающей среды" предоставляют юридические лица и ИП, имеющие основные фонды природоохранного назначения, осуществляющие у себя природоохранные мероприятия (самостоятельно или в виде потребления сторонних природоохранных услуг), имеющие объекты, оказывающие негативное воздействие на окружающую среду. Сведения предоставляются при наличии текущих затрат на охрану окружающей среды и (или) оплаты услуг природоохранного назначения более 100 тысяч рублей в год.</w:t>
            </w:r>
          </w:p>
        </w:tc>
      </w:tr>
      <w:tr w:rsidR="005F2AF4" w:rsidRPr="005F2AF4" w:rsidTr="005F2AF4">
        <w:trPr>
          <w:tblCellSpacing w:w="15" w:type="dxa"/>
        </w:trPr>
        <w:tc>
          <w:tcPr>
            <w:tcW w:w="0" w:type="auto"/>
            <w:tcBorders>
              <w:top w:val="single" w:sz="12" w:space="0" w:color="0088CB"/>
              <w:left w:val="nil"/>
              <w:bottom w:val="nil"/>
              <w:right w:val="nil"/>
            </w:tcBorders>
            <w:shd w:val="clear" w:color="auto" w:fill="6BA9B3"/>
            <w:tcMar>
              <w:top w:w="105" w:type="dxa"/>
              <w:left w:w="105" w:type="dxa"/>
              <w:bottom w:w="105" w:type="dxa"/>
              <w:right w:w="105" w:type="dxa"/>
            </w:tcMar>
            <w:hideMark/>
          </w:tcPr>
          <w:p w:rsidR="005F2AF4" w:rsidRPr="005F2AF4" w:rsidRDefault="005F2AF4" w:rsidP="005F2AF4">
            <w:pPr>
              <w:spacing w:after="0" w:line="240" w:lineRule="auto"/>
              <w:rPr>
                <w:rFonts w:ascii="Arial" w:eastAsia="Times New Roman" w:hAnsi="Arial" w:cs="Arial"/>
                <w:color w:val="554C05"/>
                <w:sz w:val="23"/>
                <w:szCs w:val="23"/>
                <w:lang w:eastAsia="ru-RU"/>
              </w:rPr>
            </w:pPr>
            <w:r w:rsidRPr="005F2AF4">
              <w:rPr>
                <w:rFonts w:ascii="Arial" w:eastAsia="Times New Roman" w:hAnsi="Arial" w:cs="Arial"/>
                <w:color w:val="554C05"/>
                <w:sz w:val="23"/>
                <w:szCs w:val="23"/>
                <w:lang w:eastAsia="ru-RU"/>
              </w:rPr>
              <w:t>ст.24.2 №89 «Об отходах производства и потребления»</w:t>
            </w:r>
          </w:p>
        </w:tc>
        <w:tc>
          <w:tcPr>
            <w:tcW w:w="0" w:type="auto"/>
            <w:tcBorders>
              <w:top w:val="single" w:sz="12" w:space="0" w:color="0088CB"/>
              <w:left w:val="single" w:sz="12" w:space="0" w:color="0088CB"/>
              <w:bottom w:val="nil"/>
              <w:right w:val="nil"/>
            </w:tcBorders>
            <w:shd w:val="clear" w:color="auto" w:fill="6BA9B3"/>
            <w:tcMar>
              <w:top w:w="105" w:type="dxa"/>
              <w:left w:w="105" w:type="dxa"/>
              <w:bottom w:w="105" w:type="dxa"/>
              <w:right w:w="105" w:type="dxa"/>
            </w:tcMar>
            <w:hideMark/>
          </w:tcPr>
          <w:p w:rsidR="005F2AF4" w:rsidRPr="005F2AF4" w:rsidRDefault="005F2AF4" w:rsidP="005F2AF4">
            <w:pPr>
              <w:spacing w:after="0" w:line="240" w:lineRule="auto"/>
              <w:rPr>
                <w:rFonts w:ascii="Arial" w:eastAsia="Times New Roman" w:hAnsi="Arial" w:cs="Arial"/>
                <w:color w:val="554C05"/>
                <w:sz w:val="23"/>
                <w:szCs w:val="23"/>
                <w:lang w:eastAsia="ru-RU"/>
              </w:rPr>
            </w:pPr>
            <w:r w:rsidRPr="005F2AF4">
              <w:rPr>
                <w:rFonts w:ascii="Arial" w:eastAsia="Times New Roman" w:hAnsi="Arial" w:cs="Arial"/>
                <w:color w:val="554C05"/>
                <w:sz w:val="23"/>
                <w:szCs w:val="23"/>
                <w:lang w:eastAsia="ru-RU"/>
              </w:rPr>
              <w:t xml:space="preserve">"Расширенная" ответственность производителей/импортеров товаров. Экологический сбор. Юридические лица и ИП, осуществляющие производство товаров на территории РФ, импорт товаров из третьих стран или ввоз товаров из государств - членов Евразийского экономического союза, обязаны обеспечивать выполнение установленных Правительством РФ нормативов утилизации. Нормативы утилизации действуют в отношении товаров и упаковки, входящих в перечень готовых товаров, включая упаковку, подлежащих утилизации </w:t>
            </w:r>
            <w:r w:rsidRPr="005F2AF4">
              <w:rPr>
                <w:rFonts w:ascii="Arial" w:eastAsia="Times New Roman" w:hAnsi="Arial" w:cs="Arial"/>
                <w:color w:val="554C05"/>
                <w:sz w:val="23"/>
                <w:szCs w:val="23"/>
                <w:lang w:eastAsia="ru-RU"/>
              </w:rPr>
              <w:lastRenderedPageBreak/>
              <w:t>после утраты ими потребительских свойств (распоряжение Правительства РФ от 28.12.2017 №2970-р). В отношении товаров и упаковки, производителям/импортерам товаров, необходимо выполнять нормативы утилизации и предоставлять: 1) декларацию о количестве выпущенных в обращение на территории РФ готовых товаров, в том числе упаковки таких товаров, подлежащих утилизации после утраты потребительских свойств; 2) отчетность о выполнении нормативов утилизации; 3) Если производители, импортеры товаров НЕ обеспечивают самостоятельную утилизацию отходов от использования этих товаров, то должны рассчитать и уплатить экологический сбор.</w:t>
            </w:r>
          </w:p>
        </w:tc>
      </w:tr>
      <w:tr w:rsidR="005F2AF4" w:rsidRPr="005F2AF4" w:rsidTr="005F2AF4">
        <w:trPr>
          <w:tblCellSpacing w:w="15" w:type="dxa"/>
        </w:trPr>
        <w:tc>
          <w:tcPr>
            <w:tcW w:w="0" w:type="auto"/>
            <w:tcBorders>
              <w:top w:val="single" w:sz="12" w:space="0" w:color="0088CB"/>
              <w:left w:val="nil"/>
              <w:bottom w:val="nil"/>
              <w:right w:val="nil"/>
            </w:tcBorders>
            <w:shd w:val="clear" w:color="auto" w:fill="A3C7CC"/>
            <w:tcMar>
              <w:top w:w="105" w:type="dxa"/>
              <w:left w:w="105" w:type="dxa"/>
              <w:bottom w:w="105" w:type="dxa"/>
              <w:right w:w="105" w:type="dxa"/>
            </w:tcMar>
            <w:hideMark/>
          </w:tcPr>
          <w:p w:rsidR="005F2AF4" w:rsidRPr="005F2AF4" w:rsidRDefault="005F2AF4" w:rsidP="005F2AF4">
            <w:pPr>
              <w:spacing w:after="0" w:line="240" w:lineRule="auto"/>
              <w:rPr>
                <w:rFonts w:ascii="Arial" w:eastAsia="Times New Roman" w:hAnsi="Arial" w:cs="Arial"/>
                <w:color w:val="554C05"/>
                <w:sz w:val="23"/>
                <w:szCs w:val="23"/>
                <w:lang w:eastAsia="ru-RU"/>
              </w:rPr>
            </w:pPr>
            <w:r w:rsidRPr="005F2AF4">
              <w:rPr>
                <w:rFonts w:ascii="Arial" w:eastAsia="Times New Roman" w:hAnsi="Arial" w:cs="Arial"/>
                <w:color w:val="554C05"/>
                <w:sz w:val="23"/>
                <w:szCs w:val="23"/>
                <w:lang w:eastAsia="ru-RU"/>
              </w:rPr>
              <w:lastRenderedPageBreak/>
              <w:t>Статистическая отчетность, если есть использование водных ресурсов</w:t>
            </w:r>
          </w:p>
        </w:tc>
        <w:tc>
          <w:tcPr>
            <w:tcW w:w="0" w:type="auto"/>
            <w:tcBorders>
              <w:top w:val="single" w:sz="12" w:space="0" w:color="0088CB"/>
              <w:left w:val="single" w:sz="12" w:space="0" w:color="0088CB"/>
              <w:bottom w:val="nil"/>
              <w:right w:val="nil"/>
            </w:tcBorders>
            <w:shd w:val="clear" w:color="auto" w:fill="A3C7CC"/>
            <w:tcMar>
              <w:top w:w="105" w:type="dxa"/>
              <w:left w:w="105" w:type="dxa"/>
              <w:bottom w:w="105" w:type="dxa"/>
              <w:right w:w="105" w:type="dxa"/>
            </w:tcMar>
            <w:hideMark/>
          </w:tcPr>
          <w:p w:rsidR="005F2AF4" w:rsidRPr="005F2AF4" w:rsidRDefault="005F2AF4" w:rsidP="005F2AF4">
            <w:pPr>
              <w:spacing w:after="0" w:line="240" w:lineRule="auto"/>
              <w:rPr>
                <w:rFonts w:ascii="Arial" w:eastAsia="Times New Roman" w:hAnsi="Arial" w:cs="Arial"/>
                <w:color w:val="554C05"/>
                <w:sz w:val="23"/>
                <w:szCs w:val="23"/>
                <w:lang w:eastAsia="ru-RU"/>
              </w:rPr>
            </w:pPr>
            <w:r w:rsidRPr="005F2AF4">
              <w:rPr>
                <w:rFonts w:ascii="Arial" w:eastAsia="Times New Roman" w:hAnsi="Arial" w:cs="Arial"/>
                <w:color w:val="554C05"/>
                <w:sz w:val="23"/>
                <w:szCs w:val="23"/>
                <w:lang w:eastAsia="ru-RU"/>
              </w:rPr>
              <w:t>1) Отчет по форме №2-ТП (</w:t>
            </w:r>
            <w:proofErr w:type="spellStart"/>
            <w:r w:rsidRPr="005F2AF4">
              <w:rPr>
                <w:rFonts w:ascii="Arial" w:eastAsia="Times New Roman" w:hAnsi="Arial" w:cs="Arial"/>
                <w:color w:val="554C05"/>
                <w:sz w:val="23"/>
                <w:szCs w:val="23"/>
                <w:lang w:eastAsia="ru-RU"/>
              </w:rPr>
              <w:t>водхоз</w:t>
            </w:r>
            <w:proofErr w:type="spellEnd"/>
            <w:r w:rsidRPr="005F2AF4">
              <w:rPr>
                <w:rFonts w:ascii="Arial" w:eastAsia="Times New Roman" w:hAnsi="Arial" w:cs="Arial"/>
                <w:color w:val="554C05"/>
                <w:sz w:val="23"/>
                <w:szCs w:val="23"/>
                <w:lang w:eastAsia="ru-RU"/>
              </w:rPr>
              <w:t xml:space="preserve">) "Сведения об использовании воды" (приказ Росстата от 19.10.2009 №230); 2) Отчет по форме №2-ОС "Сведения о выполнении водохозяйственных и </w:t>
            </w:r>
            <w:proofErr w:type="spellStart"/>
            <w:r w:rsidRPr="005F2AF4">
              <w:rPr>
                <w:rFonts w:ascii="Arial" w:eastAsia="Times New Roman" w:hAnsi="Arial" w:cs="Arial"/>
                <w:color w:val="554C05"/>
                <w:sz w:val="23"/>
                <w:szCs w:val="23"/>
                <w:lang w:eastAsia="ru-RU"/>
              </w:rPr>
              <w:t>водоохранных</w:t>
            </w:r>
            <w:proofErr w:type="spellEnd"/>
            <w:r w:rsidRPr="005F2AF4">
              <w:rPr>
                <w:rFonts w:ascii="Arial" w:eastAsia="Times New Roman" w:hAnsi="Arial" w:cs="Arial"/>
                <w:color w:val="554C05"/>
                <w:sz w:val="23"/>
                <w:szCs w:val="23"/>
                <w:lang w:eastAsia="ru-RU"/>
              </w:rPr>
              <w:t xml:space="preserve"> работ на водных объектах (приказ Росстата от 28.02.2012 №469); 3) Сведения по формам 6.1, 6.2 и 6.3 (приказ Минприроды России от 06.02.2008 №30); 4) Сведения по формам 3.1, 3.2 и 3.3 (приказ Минприроды России от 08.07.2009 №205).</w:t>
            </w:r>
          </w:p>
        </w:tc>
      </w:tr>
    </w:tbl>
    <w:p w:rsidR="005F2AF4" w:rsidRDefault="005F2AF4"/>
    <w:p w:rsidR="006D71B3" w:rsidRDefault="006D71B3">
      <w:r>
        <w:t xml:space="preserve">Информация взята с сайта </w:t>
      </w:r>
      <w:hyperlink r:id="rId4" w:history="1">
        <w:r w:rsidRPr="00C6245B">
          <w:rPr>
            <w:rStyle w:val="a3"/>
          </w:rPr>
          <w:t>https://www.мояэкология.рф/ekologycheskie-trebovaniya</w:t>
        </w:r>
      </w:hyperlink>
    </w:p>
    <w:p w:rsidR="006D71B3" w:rsidRDefault="006D71B3">
      <w:bookmarkStart w:id="0" w:name="_GoBack"/>
      <w:bookmarkEnd w:id="0"/>
    </w:p>
    <w:sectPr w:rsidR="006D71B3" w:rsidSect="00FC1513">
      <w:pgSz w:w="16838" w:h="11906" w:orient="landscape"/>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D79"/>
    <w:rsid w:val="000D0B5B"/>
    <w:rsid w:val="00125817"/>
    <w:rsid w:val="00145B84"/>
    <w:rsid w:val="004628AD"/>
    <w:rsid w:val="00525268"/>
    <w:rsid w:val="005E2BF9"/>
    <w:rsid w:val="005F2AF4"/>
    <w:rsid w:val="006D71B3"/>
    <w:rsid w:val="00CA0768"/>
    <w:rsid w:val="00F66D79"/>
    <w:rsid w:val="00FC15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8CBEE"/>
  <w15:chartTrackingRefBased/>
  <w15:docId w15:val="{4D30688F-55E4-4E5C-BF86-86729D97F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D71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18047">
      <w:bodyDiv w:val="1"/>
      <w:marLeft w:val="0"/>
      <w:marRight w:val="0"/>
      <w:marTop w:val="0"/>
      <w:marBottom w:val="0"/>
      <w:divBdr>
        <w:top w:val="none" w:sz="0" w:space="0" w:color="auto"/>
        <w:left w:val="none" w:sz="0" w:space="0" w:color="auto"/>
        <w:bottom w:val="none" w:sz="0" w:space="0" w:color="auto"/>
        <w:right w:val="none" w:sz="0" w:space="0" w:color="auto"/>
      </w:divBdr>
    </w:div>
    <w:div w:id="434600333">
      <w:bodyDiv w:val="1"/>
      <w:marLeft w:val="0"/>
      <w:marRight w:val="0"/>
      <w:marTop w:val="0"/>
      <w:marBottom w:val="0"/>
      <w:divBdr>
        <w:top w:val="none" w:sz="0" w:space="0" w:color="auto"/>
        <w:left w:val="none" w:sz="0" w:space="0" w:color="auto"/>
        <w:bottom w:val="none" w:sz="0" w:space="0" w:color="auto"/>
        <w:right w:val="none" w:sz="0" w:space="0" w:color="auto"/>
      </w:divBdr>
    </w:div>
    <w:div w:id="527571814">
      <w:bodyDiv w:val="1"/>
      <w:marLeft w:val="0"/>
      <w:marRight w:val="0"/>
      <w:marTop w:val="0"/>
      <w:marBottom w:val="0"/>
      <w:divBdr>
        <w:top w:val="none" w:sz="0" w:space="0" w:color="auto"/>
        <w:left w:val="none" w:sz="0" w:space="0" w:color="auto"/>
        <w:bottom w:val="none" w:sz="0" w:space="0" w:color="auto"/>
        <w:right w:val="none" w:sz="0" w:space="0" w:color="auto"/>
      </w:divBdr>
      <w:divsChild>
        <w:div w:id="267128633">
          <w:marLeft w:val="0"/>
          <w:marRight w:val="0"/>
          <w:marTop w:val="0"/>
          <w:marBottom w:val="0"/>
          <w:divBdr>
            <w:top w:val="none" w:sz="0" w:space="0" w:color="auto"/>
            <w:left w:val="none" w:sz="0" w:space="0" w:color="auto"/>
            <w:bottom w:val="none" w:sz="0" w:space="0" w:color="auto"/>
            <w:right w:val="none" w:sz="0" w:space="0" w:color="auto"/>
          </w:divBdr>
        </w:div>
      </w:divsChild>
    </w:div>
    <w:div w:id="770857389">
      <w:bodyDiv w:val="1"/>
      <w:marLeft w:val="0"/>
      <w:marRight w:val="0"/>
      <w:marTop w:val="0"/>
      <w:marBottom w:val="0"/>
      <w:divBdr>
        <w:top w:val="none" w:sz="0" w:space="0" w:color="auto"/>
        <w:left w:val="none" w:sz="0" w:space="0" w:color="auto"/>
        <w:bottom w:val="none" w:sz="0" w:space="0" w:color="auto"/>
        <w:right w:val="none" w:sz="0" w:space="0" w:color="auto"/>
      </w:divBdr>
      <w:divsChild>
        <w:div w:id="612711474">
          <w:marLeft w:val="0"/>
          <w:marRight w:val="0"/>
          <w:marTop w:val="0"/>
          <w:marBottom w:val="0"/>
          <w:divBdr>
            <w:top w:val="none" w:sz="0" w:space="0" w:color="auto"/>
            <w:left w:val="none" w:sz="0" w:space="0" w:color="auto"/>
            <w:bottom w:val="none" w:sz="0" w:space="0" w:color="auto"/>
            <w:right w:val="none" w:sz="0" w:space="0" w:color="auto"/>
          </w:divBdr>
        </w:div>
      </w:divsChild>
    </w:div>
    <w:div w:id="1603369704">
      <w:bodyDiv w:val="1"/>
      <w:marLeft w:val="0"/>
      <w:marRight w:val="0"/>
      <w:marTop w:val="0"/>
      <w:marBottom w:val="0"/>
      <w:divBdr>
        <w:top w:val="none" w:sz="0" w:space="0" w:color="auto"/>
        <w:left w:val="none" w:sz="0" w:space="0" w:color="auto"/>
        <w:bottom w:val="none" w:sz="0" w:space="0" w:color="auto"/>
        <w:right w:val="none" w:sz="0" w:space="0" w:color="auto"/>
      </w:divBdr>
    </w:div>
    <w:div w:id="1604528710">
      <w:bodyDiv w:val="1"/>
      <w:marLeft w:val="0"/>
      <w:marRight w:val="0"/>
      <w:marTop w:val="0"/>
      <w:marBottom w:val="0"/>
      <w:divBdr>
        <w:top w:val="none" w:sz="0" w:space="0" w:color="auto"/>
        <w:left w:val="none" w:sz="0" w:space="0" w:color="auto"/>
        <w:bottom w:val="none" w:sz="0" w:space="0" w:color="auto"/>
        <w:right w:val="none" w:sz="0" w:space="0" w:color="auto"/>
      </w:divBdr>
    </w:div>
    <w:div w:id="1655798614">
      <w:bodyDiv w:val="1"/>
      <w:marLeft w:val="0"/>
      <w:marRight w:val="0"/>
      <w:marTop w:val="0"/>
      <w:marBottom w:val="0"/>
      <w:divBdr>
        <w:top w:val="none" w:sz="0" w:space="0" w:color="auto"/>
        <w:left w:val="none" w:sz="0" w:space="0" w:color="auto"/>
        <w:bottom w:val="none" w:sz="0" w:space="0" w:color="auto"/>
        <w:right w:val="none" w:sz="0" w:space="0" w:color="auto"/>
      </w:divBdr>
    </w:div>
    <w:div w:id="1740323108">
      <w:bodyDiv w:val="1"/>
      <w:marLeft w:val="0"/>
      <w:marRight w:val="0"/>
      <w:marTop w:val="0"/>
      <w:marBottom w:val="0"/>
      <w:divBdr>
        <w:top w:val="none" w:sz="0" w:space="0" w:color="auto"/>
        <w:left w:val="none" w:sz="0" w:space="0" w:color="auto"/>
        <w:bottom w:val="none" w:sz="0" w:space="0" w:color="auto"/>
        <w:right w:val="none" w:sz="0" w:space="0" w:color="auto"/>
      </w:divBdr>
      <w:divsChild>
        <w:div w:id="634019249">
          <w:marLeft w:val="0"/>
          <w:marRight w:val="0"/>
          <w:marTop w:val="0"/>
          <w:marBottom w:val="0"/>
          <w:divBdr>
            <w:top w:val="none" w:sz="0" w:space="0" w:color="auto"/>
            <w:left w:val="none" w:sz="0" w:space="0" w:color="auto"/>
            <w:bottom w:val="none" w:sz="0" w:space="0" w:color="auto"/>
            <w:right w:val="none" w:sz="0" w:space="0" w:color="auto"/>
          </w:divBdr>
        </w:div>
        <w:div w:id="41179135">
          <w:marLeft w:val="0"/>
          <w:marRight w:val="0"/>
          <w:marTop w:val="0"/>
          <w:marBottom w:val="0"/>
          <w:divBdr>
            <w:top w:val="none" w:sz="0" w:space="0" w:color="auto"/>
            <w:left w:val="none" w:sz="0" w:space="0" w:color="auto"/>
            <w:bottom w:val="none" w:sz="0" w:space="0" w:color="auto"/>
            <w:right w:val="none" w:sz="0" w:space="0" w:color="auto"/>
          </w:divBdr>
        </w:div>
      </w:divsChild>
    </w:div>
    <w:div w:id="1870988792">
      <w:bodyDiv w:val="1"/>
      <w:marLeft w:val="0"/>
      <w:marRight w:val="0"/>
      <w:marTop w:val="0"/>
      <w:marBottom w:val="0"/>
      <w:divBdr>
        <w:top w:val="none" w:sz="0" w:space="0" w:color="auto"/>
        <w:left w:val="none" w:sz="0" w:space="0" w:color="auto"/>
        <w:bottom w:val="none" w:sz="0" w:space="0" w:color="auto"/>
        <w:right w:val="none" w:sz="0" w:space="0" w:color="auto"/>
      </w:divBdr>
    </w:div>
    <w:div w:id="1916816401">
      <w:bodyDiv w:val="1"/>
      <w:marLeft w:val="0"/>
      <w:marRight w:val="0"/>
      <w:marTop w:val="0"/>
      <w:marBottom w:val="0"/>
      <w:divBdr>
        <w:top w:val="none" w:sz="0" w:space="0" w:color="auto"/>
        <w:left w:val="none" w:sz="0" w:space="0" w:color="auto"/>
        <w:bottom w:val="none" w:sz="0" w:space="0" w:color="auto"/>
        <w:right w:val="none" w:sz="0" w:space="0" w:color="auto"/>
      </w:divBdr>
    </w:div>
    <w:div w:id="212083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1084;&#1086;&#1103;&#1101;&#1082;&#1086;&#1083;&#1086;&#1075;&#1080;&#1103;.&#1088;&#1092;/ekologycheskie-trebovan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3890</Words>
  <Characters>22177</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Разин И. В.</dc:creator>
  <cp:keywords/>
  <dc:description/>
  <cp:lastModifiedBy>Разин И. В.</cp:lastModifiedBy>
  <cp:revision>10</cp:revision>
  <dcterms:created xsi:type="dcterms:W3CDTF">2019-03-01T04:22:00Z</dcterms:created>
  <dcterms:modified xsi:type="dcterms:W3CDTF">2019-03-01T04:31:00Z</dcterms:modified>
</cp:coreProperties>
</file>